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0059" w14:textId="77777777" w:rsidR="00F772EE" w:rsidRDefault="00F56C40" w:rsidP="00893E0A">
      <w:pPr>
        <w:shd w:val="clear" w:color="auto" w:fill="FFFFFF"/>
        <w:spacing w:before="240" w:after="0"/>
        <w:jc w:val="both"/>
      </w:pPr>
      <w:r>
        <w:rPr>
          <w:rFonts w:eastAsia="Times New Roman" w:cs="Calibri"/>
          <w:b/>
          <w:bCs/>
          <w:noProof/>
          <w:color w:val="222222"/>
          <w:sz w:val="32"/>
          <w:szCs w:val="32"/>
          <w:lang w:eastAsia="es-ES"/>
        </w:rPr>
        <w:drawing>
          <wp:inline distT="0" distB="0" distL="0" distR="0" wp14:anchorId="03E99DDF" wp14:editId="345A30A1">
            <wp:extent cx="2219321" cy="749936"/>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2219321" cy="749936"/>
                    </a:xfrm>
                    <a:prstGeom prst="rect">
                      <a:avLst/>
                    </a:prstGeom>
                    <a:noFill/>
                    <a:ln>
                      <a:noFill/>
                      <a:prstDash/>
                    </a:ln>
                  </pic:spPr>
                </pic:pic>
              </a:graphicData>
            </a:graphic>
          </wp:inline>
        </w:drawing>
      </w:r>
    </w:p>
    <w:p w14:paraId="7E3E4D8A" w14:textId="77777777" w:rsidR="00BD483E" w:rsidRPr="00824A40" w:rsidRDefault="00BD483E" w:rsidP="00BD483E">
      <w:pPr>
        <w:shd w:val="clear" w:color="auto" w:fill="FFFFFF"/>
        <w:spacing w:before="240" w:after="0"/>
        <w:jc w:val="both"/>
        <w:rPr>
          <w:sz w:val="28"/>
          <w:szCs w:val="28"/>
          <w:u w:val="single"/>
        </w:rPr>
      </w:pPr>
      <w:r w:rsidRPr="00824A40">
        <w:rPr>
          <w:b/>
          <w:sz w:val="28"/>
          <w:szCs w:val="28"/>
          <w:u w:val="single"/>
        </w:rPr>
        <w:t>Nota de prensa</w:t>
      </w:r>
    </w:p>
    <w:p w14:paraId="3731A709" w14:textId="350DF7B6" w:rsidR="00BD483E" w:rsidRPr="00CD5494" w:rsidRDefault="00BD483E" w:rsidP="00BD483E">
      <w:pPr>
        <w:shd w:val="clear" w:color="auto" w:fill="FFFFFF"/>
        <w:spacing w:before="240" w:after="0"/>
        <w:jc w:val="both"/>
      </w:pPr>
      <w:r>
        <w:rPr>
          <w:rFonts w:eastAsia="Times New Roman" w:cs="Calibri"/>
          <w:b/>
          <w:bCs/>
          <w:color w:val="222222"/>
          <w:sz w:val="24"/>
          <w:szCs w:val="24"/>
          <w:lang w:eastAsia="es-ES"/>
        </w:rPr>
        <w:t> </w:t>
      </w:r>
      <w:r>
        <w:rPr>
          <w:b/>
          <w:color w:val="222222"/>
          <w:sz w:val="24"/>
        </w:rPr>
        <w:t xml:space="preserve">Observatorio Financiero del Consejo General de Economistas: </w:t>
      </w:r>
      <w:r w:rsidR="00873B59">
        <w:rPr>
          <w:b/>
          <w:color w:val="222222"/>
          <w:sz w:val="24"/>
        </w:rPr>
        <w:t>4 de diciembre d</w:t>
      </w:r>
      <w:r>
        <w:rPr>
          <w:b/>
          <w:color w:val="222222"/>
          <w:sz w:val="24"/>
        </w:rPr>
        <w:t>e 202</w:t>
      </w:r>
      <w:r w:rsidR="00873B59">
        <w:rPr>
          <w:b/>
          <w:color w:val="222222"/>
          <w:sz w:val="24"/>
        </w:rPr>
        <w:t>3</w:t>
      </w:r>
    </w:p>
    <w:p w14:paraId="06E1E083" w14:textId="77777777" w:rsidR="00BD483E" w:rsidRDefault="00BD483E" w:rsidP="00BD483E">
      <w:pPr>
        <w:shd w:val="clear" w:color="auto" w:fill="FFFFFF"/>
        <w:spacing w:after="0"/>
        <w:jc w:val="center"/>
        <w:rPr>
          <w:b/>
          <w:sz w:val="36"/>
          <w:szCs w:val="36"/>
        </w:rPr>
      </w:pPr>
    </w:p>
    <w:p w14:paraId="226EA5B5" w14:textId="73D17AFC" w:rsidR="00BD483E" w:rsidRPr="00241FD4" w:rsidRDefault="00BD483E" w:rsidP="00BD483E">
      <w:pPr>
        <w:shd w:val="clear" w:color="auto" w:fill="FFFFFF"/>
        <w:spacing w:after="0"/>
        <w:jc w:val="center"/>
        <w:rPr>
          <w:b/>
          <w:sz w:val="36"/>
          <w:szCs w:val="36"/>
        </w:rPr>
      </w:pPr>
      <w:r w:rsidRPr="00241FD4">
        <w:rPr>
          <w:b/>
          <w:sz w:val="36"/>
          <w:szCs w:val="36"/>
        </w:rPr>
        <w:t>La previsión de crecimiento del PIB</w:t>
      </w:r>
      <w:r w:rsidR="00873B59">
        <w:rPr>
          <w:b/>
          <w:sz w:val="36"/>
          <w:szCs w:val="36"/>
        </w:rPr>
        <w:t xml:space="preserve"> en 2023 </w:t>
      </w:r>
      <w:r w:rsidRPr="00241FD4">
        <w:rPr>
          <w:b/>
          <w:sz w:val="36"/>
          <w:szCs w:val="36"/>
        </w:rPr>
        <w:t>se e</w:t>
      </w:r>
      <w:r w:rsidR="005D3D4B" w:rsidRPr="00241FD4">
        <w:rPr>
          <w:b/>
          <w:sz w:val="36"/>
          <w:szCs w:val="36"/>
        </w:rPr>
        <w:t xml:space="preserve">leva </w:t>
      </w:r>
      <w:r w:rsidR="00873B59">
        <w:rPr>
          <w:b/>
          <w:sz w:val="36"/>
          <w:szCs w:val="36"/>
        </w:rPr>
        <w:t>1</w:t>
      </w:r>
      <w:r w:rsidR="005D3D4B" w:rsidRPr="00241FD4">
        <w:rPr>
          <w:b/>
          <w:sz w:val="36"/>
          <w:szCs w:val="36"/>
        </w:rPr>
        <w:t xml:space="preserve"> décima, hasta el </w:t>
      </w:r>
      <w:r w:rsidR="00873B59">
        <w:rPr>
          <w:b/>
          <w:sz w:val="36"/>
          <w:szCs w:val="36"/>
        </w:rPr>
        <w:t>2,4</w:t>
      </w:r>
      <w:r w:rsidR="005D3D4B" w:rsidRPr="00241FD4">
        <w:rPr>
          <w:b/>
          <w:sz w:val="36"/>
          <w:szCs w:val="36"/>
        </w:rPr>
        <w:t xml:space="preserve">%, </w:t>
      </w:r>
      <w:r w:rsidR="00873B59">
        <w:rPr>
          <w:b/>
          <w:sz w:val="36"/>
          <w:szCs w:val="36"/>
        </w:rPr>
        <w:t>y se mantiene para 2024 en el 1,7%</w:t>
      </w:r>
    </w:p>
    <w:p w14:paraId="09D7D95D" w14:textId="77777777" w:rsidR="001F721E" w:rsidRPr="00241FD4" w:rsidRDefault="001F721E" w:rsidP="00BD483E">
      <w:pPr>
        <w:shd w:val="clear" w:color="auto" w:fill="FFFFFF"/>
        <w:spacing w:after="0"/>
        <w:jc w:val="center"/>
        <w:rPr>
          <w:b/>
          <w:sz w:val="36"/>
          <w:szCs w:val="36"/>
        </w:rPr>
      </w:pPr>
    </w:p>
    <w:p w14:paraId="09C72AC2" w14:textId="01995713" w:rsidR="00873B59" w:rsidRPr="00DD0ED5" w:rsidRDefault="00723F97" w:rsidP="00BD483E">
      <w:pPr>
        <w:shd w:val="clear" w:color="auto" w:fill="FFFFFF"/>
        <w:spacing w:after="0"/>
        <w:jc w:val="center"/>
        <w:rPr>
          <w:b/>
          <w:sz w:val="24"/>
          <w:szCs w:val="24"/>
        </w:rPr>
      </w:pPr>
      <w:bookmarkStart w:id="0" w:name="_Hlk152435705"/>
      <w:r w:rsidRPr="00DD0ED5">
        <w:rPr>
          <w:b/>
          <w:sz w:val="24"/>
          <w:szCs w:val="24"/>
        </w:rPr>
        <w:t xml:space="preserve">Los malos augurios de recesión </w:t>
      </w:r>
      <w:r w:rsidR="00DD0ED5" w:rsidRPr="00DD0ED5">
        <w:rPr>
          <w:b/>
          <w:sz w:val="24"/>
          <w:szCs w:val="24"/>
        </w:rPr>
        <w:t>previstos para</w:t>
      </w:r>
      <w:r w:rsidRPr="00DD0ED5">
        <w:rPr>
          <w:b/>
          <w:sz w:val="24"/>
          <w:szCs w:val="24"/>
        </w:rPr>
        <w:t xml:space="preserve"> el último trimestre parece que se están alejando</w:t>
      </w:r>
      <w:r w:rsidR="00DD0ED5" w:rsidRPr="00DD0ED5">
        <w:rPr>
          <w:b/>
          <w:sz w:val="24"/>
          <w:szCs w:val="24"/>
        </w:rPr>
        <w:t>.</w:t>
      </w:r>
    </w:p>
    <w:p w14:paraId="23917B1D" w14:textId="77777777" w:rsidR="00DD0ED5" w:rsidRDefault="00DD0ED5" w:rsidP="00BD483E">
      <w:pPr>
        <w:shd w:val="clear" w:color="auto" w:fill="FFFFFF"/>
        <w:spacing w:after="0"/>
        <w:jc w:val="center"/>
        <w:rPr>
          <w:b/>
          <w:color w:val="FF0000"/>
          <w:sz w:val="24"/>
          <w:szCs w:val="24"/>
        </w:rPr>
      </w:pPr>
    </w:p>
    <w:bookmarkEnd w:id="0"/>
    <w:p w14:paraId="71F905CF" w14:textId="3D633472" w:rsidR="00873B59" w:rsidRPr="003B3B94" w:rsidRDefault="00873B59" w:rsidP="00BD483E">
      <w:pPr>
        <w:shd w:val="clear" w:color="auto" w:fill="FFFFFF"/>
        <w:spacing w:after="0"/>
        <w:jc w:val="center"/>
        <w:rPr>
          <w:b/>
          <w:sz w:val="24"/>
          <w:szCs w:val="24"/>
        </w:rPr>
      </w:pPr>
      <w:r w:rsidRPr="003B3B94">
        <w:rPr>
          <w:b/>
          <w:sz w:val="24"/>
          <w:szCs w:val="24"/>
        </w:rPr>
        <w:t xml:space="preserve">Se espera que la tasa de paro se </w:t>
      </w:r>
      <w:r w:rsidR="00BD483E" w:rsidRPr="003B3B94">
        <w:rPr>
          <w:b/>
          <w:sz w:val="24"/>
          <w:szCs w:val="24"/>
        </w:rPr>
        <w:t>mantenga en los niveles actuales</w:t>
      </w:r>
      <w:r w:rsidR="005D3D4B" w:rsidRPr="003B3B94">
        <w:rPr>
          <w:b/>
          <w:sz w:val="24"/>
          <w:szCs w:val="24"/>
        </w:rPr>
        <w:t xml:space="preserve"> hasta final de año</w:t>
      </w:r>
      <w:r w:rsidR="00BD483E" w:rsidRPr="003B3B94">
        <w:rPr>
          <w:b/>
          <w:sz w:val="24"/>
          <w:szCs w:val="24"/>
        </w:rPr>
        <w:t>, en torno al 1</w:t>
      </w:r>
      <w:r w:rsidRPr="003B3B94">
        <w:rPr>
          <w:b/>
          <w:sz w:val="24"/>
          <w:szCs w:val="24"/>
        </w:rPr>
        <w:t>1,8</w:t>
      </w:r>
      <w:r w:rsidR="00BD483E" w:rsidRPr="003B3B94">
        <w:rPr>
          <w:b/>
          <w:sz w:val="24"/>
          <w:szCs w:val="24"/>
        </w:rPr>
        <w:t xml:space="preserve">%, </w:t>
      </w:r>
      <w:r w:rsidRPr="003B3B94">
        <w:rPr>
          <w:b/>
          <w:sz w:val="24"/>
          <w:szCs w:val="24"/>
        </w:rPr>
        <w:t>dad</w:t>
      </w:r>
      <w:r w:rsidR="001C394C">
        <w:rPr>
          <w:b/>
          <w:sz w:val="24"/>
          <w:szCs w:val="24"/>
        </w:rPr>
        <w:t>a</w:t>
      </w:r>
      <w:r w:rsidRPr="003B3B94">
        <w:rPr>
          <w:b/>
          <w:sz w:val="24"/>
          <w:szCs w:val="24"/>
        </w:rPr>
        <w:t xml:space="preserve"> la buena tendencia que está teniendo a lo largo de este año</w:t>
      </w:r>
      <w:r w:rsidR="00DD0ED5">
        <w:rPr>
          <w:b/>
          <w:sz w:val="24"/>
          <w:szCs w:val="24"/>
        </w:rPr>
        <w:t>.</w:t>
      </w:r>
    </w:p>
    <w:p w14:paraId="737C7DEB" w14:textId="266AD508" w:rsidR="00BD483E" w:rsidRPr="00824A40" w:rsidRDefault="00BD483E" w:rsidP="00BD483E">
      <w:pPr>
        <w:shd w:val="clear" w:color="auto" w:fill="FFFFFF"/>
        <w:spacing w:before="240" w:after="0"/>
        <w:jc w:val="both"/>
        <w:rPr>
          <w:u w:val="single"/>
        </w:rPr>
      </w:pPr>
      <w:r w:rsidRPr="00824A40">
        <w:rPr>
          <w:b/>
          <w:color w:val="222222"/>
          <w:u w:val="single"/>
        </w:rPr>
        <w:t xml:space="preserve">OBSERVATORIO FINANCIERO, </w:t>
      </w:r>
      <w:r w:rsidR="00723F97">
        <w:rPr>
          <w:b/>
          <w:color w:val="222222"/>
          <w:u w:val="single"/>
        </w:rPr>
        <w:t>4</w:t>
      </w:r>
      <w:r w:rsidRPr="00824A40">
        <w:rPr>
          <w:b/>
          <w:color w:val="222222"/>
          <w:u w:val="single"/>
        </w:rPr>
        <w:t xml:space="preserve"> DE</w:t>
      </w:r>
      <w:r>
        <w:rPr>
          <w:b/>
          <w:color w:val="222222"/>
          <w:u w:val="single"/>
        </w:rPr>
        <w:t xml:space="preserve"> </w:t>
      </w:r>
      <w:r w:rsidR="00723F97">
        <w:rPr>
          <w:b/>
          <w:color w:val="222222"/>
          <w:u w:val="single"/>
        </w:rPr>
        <w:t>DICIE</w:t>
      </w:r>
      <w:r>
        <w:rPr>
          <w:b/>
          <w:color w:val="222222"/>
          <w:u w:val="single"/>
        </w:rPr>
        <w:t>MBRE</w:t>
      </w:r>
      <w:r w:rsidRPr="00824A40">
        <w:rPr>
          <w:b/>
          <w:color w:val="222222"/>
          <w:u w:val="single"/>
        </w:rPr>
        <w:t xml:space="preserve"> </w:t>
      </w:r>
      <w:r w:rsidRPr="00824A40">
        <w:rPr>
          <w:rFonts w:eastAsia="Times New Roman" w:cs="Calibri"/>
          <w:b/>
          <w:bCs/>
          <w:color w:val="222222"/>
          <w:u w:val="single"/>
          <w:lang w:eastAsia="es-ES"/>
        </w:rPr>
        <w:t>DE</w:t>
      </w:r>
      <w:r w:rsidRPr="00824A40">
        <w:rPr>
          <w:b/>
          <w:color w:val="222222"/>
          <w:u w:val="single"/>
        </w:rPr>
        <w:t xml:space="preserve"> 202</w:t>
      </w:r>
      <w:bookmarkStart w:id="1" w:name="_Hlk7452479"/>
      <w:r w:rsidR="00723F97">
        <w:rPr>
          <w:b/>
          <w:color w:val="222222"/>
          <w:u w:val="single"/>
        </w:rPr>
        <w:t>3</w:t>
      </w:r>
    </w:p>
    <w:bookmarkEnd w:id="1"/>
    <w:p w14:paraId="07B03482" w14:textId="56AF8AFB" w:rsidR="00822A53" w:rsidRPr="004622D1" w:rsidRDefault="00BD483E" w:rsidP="00822A53">
      <w:pPr>
        <w:shd w:val="clear" w:color="auto" w:fill="FFFFFF"/>
        <w:spacing w:before="240" w:after="0"/>
        <w:jc w:val="both"/>
      </w:pPr>
      <w:r w:rsidRPr="004622D1">
        <w:rPr>
          <w:color w:val="000000"/>
        </w:rPr>
        <w:t>Los indicadores adelantados de confianza empresarial y del consumidor</w:t>
      </w:r>
      <w:r w:rsidR="00DD0ED5">
        <w:rPr>
          <w:color w:val="000000"/>
        </w:rPr>
        <w:t xml:space="preserve"> </w:t>
      </w:r>
      <w:r w:rsidR="00723F97" w:rsidRPr="004622D1">
        <w:rPr>
          <w:color w:val="000000"/>
        </w:rPr>
        <w:t>anticipan una ligera mejoría en la desaceleración que estaban experimentando en los últimos meses</w:t>
      </w:r>
      <w:r w:rsidR="00DD5FE5" w:rsidRPr="004622D1">
        <w:rPr>
          <w:color w:val="000000"/>
        </w:rPr>
        <w:t xml:space="preserve"> tanto en la zona euro como en España. </w:t>
      </w:r>
      <w:r w:rsidR="00723F97" w:rsidRPr="004622D1">
        <w:rPr>
          <w:color w:val="000000"/>
        </w:rPr>
        <w:t>A</w:t>
      </w:r>
      <w:r w:rsidR="00DD5FE5" w:rsidRPr="004622D1">
        <w:rPr>
          <w:color w:val="000000"/>
        </w:rPr>
        <w:t>unque noviembre no ha sido un buen mes en el sector manufacturero -la producción ha seguido cayendo y las empresas recortando sus plantillas-, casi todos los indicadores han aumentado un poco. Así, e</w:t>
      </w:r>
      <w:r w:rsidR="00723F97" w:rsidRPr="004622D1">
        <w:t xml:space="preserve">l Índice PMI del Sector Manufacturero de la Zona Euro </w:t>
      </w:r>
      <w:r w:rsidR="00DD5FE5" w:rsidRPr="004622D1">
        <w:t xml:space="preserve">de noviembre ha sido de </w:t>
      </w:r>
      <w:r w:rsidR="00723F97" w:rsidRPr="004622D1">
        <w:rPr>
          <w:color w:val="000000"/>
        </w:rPr>
        <w:t xml:space="preserve">44.2 frente al 43.1 en octubre, </w:t>
      </w:r>
      <w:r w:rsidR="00DD5FE5" w:rsidRPr="004622D1">
        <w:rPr>
          <w:color w:val="000000"/>
        </w:rPr>
        <w:t>que</w:t>
      </w:r>
      <w:r w:rsidR="00DD0ED5">
        <w:rPr>
          <w:color w:val="000000"/>
        </w:rPr>
        <w:t>,</w:t>
      </w:r>
      <w:r w:rsidR="00DD5FE5" w:rsidRPr="004622D1">
        <w:rPr>
          <w:color w:val="000000"/>
        </w:rPr>
        <w:t xml:space="preserve"> aunque sigue muy bajo</w:t>
      </w:r>
      <w:r w:rsidR="00822A53" w:rsidRPr="004622D1">
        <w:rPr>
          <w:color w:val="000000"/>
        </w:rPr>
        <w:t>,</w:t>
      </w:r>
      <w:r w:rsidR="00DD5FE5" w:rsidRPr="004622D1">
        <w:rPr>
          <w:color w:val="000000"/>
        </w:rPr>
        <w:t xml:space="preserve"> </w:t>
      </w:r>
      <w:r w:rsidR="00723F97" w:rsidRPr="004622D1">
        <w:rPr>
          <w:color w:val="000000"/>
        </w:rPr>
        <w:t>registra</w:t>
      </w:r>
      <w:r w:rsidR="00DD5FE5" w:rsidRPr="004622D1">
        <w:rPr>
          <w:color w:val="000000"/>
        </w:rPr>
        <w:t xml:space="preserve"> </w:t>
      </w:r>
      <w:r w:rsidR="00723F97" w:rsidRPr="004622D1">
        <w:rPr>
          <w:color w:val="000000"/>
        </w:rPr>
        <w:t xml:space="preserve">su máxima de </w:t>
      </w:r>
      <w:r w:rsidR="00DD5FE5" w:rsidRPr="004622D1">
        <w:rPr>
          <w:color w:val="000000"/>
        </w:rPr>
        <w:t xml:space="preserve">los últimos </w:t>
      </w:r>
      <w:r w:rsidR="00723F97" w:rsidRPr="004622D1">
        <w:rPr>
          <w:color w:val="000000"/>
        </w:rPr>
        <w:t>seis meses</w:t>
      </w:r>
      <w:r w:rsidR="00DD0ED5">
        <w:rPr>
          <w:color w:val="000000"/>
        </w:rPr>
        <w:t>. En España ha sido de</w:t>
      </w:r>
      <w:r w:rsidR="00DD5FE5" w:rsidRPr="004622D1">
        <w:rPr>
          <w:color w:val="000000"/>
        </w:rPr>
        <w:t xml:space="preserve"> 46.3, frente a 45.1 </w:t>
      </w:r>
      <w:r w:rsidR="00DD0ED5">
        <w:rPr>
          <w:color w:val="000000"/>
        </w:rPr>
        <w:t>de</w:t>
      </w:r>
      <w:r w:rsidR="00DD5FE5" w:rsidRPr="004622D1">
        <w:rPr>
          <w:color w:val="000000"/>
        </w:rPr>
        <w:t xml:space="preserve"> octubre.</w:t>
      </w:r>
      <w:r w:rsidR="00DD5FE5" w:rsidRPr="004622D1">
        <w:t xml:space="preserve"> </w:t>
      </w:r>
    </w:p>
    <w:p w14:paraId="0CBBD533" w14:textId="17B30ADA" w:rsidR="00822A53" w:rsidRPr="004622D1" w:rsidRDefault="00DD5FE5" w:rsidP="00822A53">
      <w:pPr>
        <w:shd w:val="clear" w:color="auto" w:fill="FFFFFF"/>
        <w:spacing w:before="240" w:after="0"/>
        <w:jc w:val="both"/>
        <w:rPr>
          <w:color w:val="000000"/>
        </w:rPr>
      </w:pPr>
      <w:r w:rsidRPr="004622D1">
        <w:t>E</w:t>
      </w:r>
      <w:r w:rsidRPr="004622D1">
        <w:rPr>
          <w:color w:val="000000"/>
        </w:rPr>
        <w:t xml:space="preserve">l Flash del Índice PMI Compuesto de la Actividad Total de la Zona Euro de HCOB de noviembre, aunque refleja </w:t>
      </w:r>
      <w:r w:rsidR="00822A53" w:rsidRPr="004622D1">
        <w:rPr>
          <w:color w:val="000000"/>
        </w:rPr>
        <w:t xml:space="preserve">la </w:t>
      </w:r>
      <w:r w:rsidRPr="004622D1">
        <w:rPr>
          <w:color w:val="000000"/>
        </w:rPr>
        <w:t xml:space="preserve">sexta reducción mensual consecutiva de la actividad empresarial en el sector privado de la zona euro, también refleja un menor ritmo de contracción </w:t>
      </w:r>
      <w:r w:rsidR="00822A53" w:rsidRPr="004622D1">
        <w:rPr>
          <w:color w:val="000000"/>
        </w:rPr>
        <w:t>respecto al mes anterior</w:t>
      </w:r>
      <w:r w:rsidR="00DD0ED5">
        <w:rPr>
          <w:color w:val="000000"/>
        </w:rPr>
        <w:t xml:space="preserve"> (</w:t>
      </w:r>
      <w:r w:rsidRPr="004622D1">
        <w:rPr>
          <w:color w:val="000000"/>
        </w:rPr>
        <w:t xml:space="preserve">47.1 en noviembre, frente </w:t>
      </w:r>
      <w:r w:rsidR="00822A53" w:rsidRPr="004622D1">
        <w:rPr>
          <w:color w:val="000000"/>
        </w:rPr>
        <w:t xml:space="preserve">a 46.5 </w:t>
      </w:r>
      <w:r w:rsidRPr="004622D1">
        <w:rPr>
          <w:color w:val="000000"/>
        </w:rPr>
        <w:t>observado en octubre</w:t>
      </w:r>
      <w:r w:rsidR="00DD0ED5">
        <w:rPr>
          <w:color w:val="000000"/>
        </w:rPr>
        <w:t>)</w:t>
      </w:r>
      <w:r w:rsidR="00822A53" w:rsidRPr="004622D1">
        <w:rPr>
          <w:color w:val="000000"/>
        </w:rPr>
        <w:t>.</w:t>
      </w:r>
      <w:r w:rsidR="00822A53" w:rsidRPr="004622D1">
        <w:t xml:space="preserve"> L</w:t>
      </w:r>
      <w:r w:rsidR="00822A53" w:rsidRPr="004622D1">
        <w:rPr>
          <w:color w:val="000000"/>
        </w:rPr>
        <w:t xml:space="preserve">a actividad en el sector </w:t>
      </w:r>
      <w:r w:rsidR="00ED398F" w:rsidRPr="004622D1">
        <w:rPr>
          <w:color w:val="000000"/>
        </w:rPr>
        <w:t>servicios,</w:t>
      </w:r>
      <w:r w:rsidR="00822A53" w:rsidRPr="004622D1">
        <w:rPr>
          <w:color w:val="000000"/>
        </w:rPr>
        <w:t xml:space="preserve"> aunque disminuyó por cuarto mes consecutivo, lo ha hecho a un ritmo </w:t>
      </w:r>
      <w:r w:rsidR="00C2564A" w:rsidRPr="004622D1">
        <w:rPr>
          <w:color w:val="000000"/>
        </w:rPr>
        <w:t>más</w:t>
      </w:r>
      <w:r w:rsidR="00822A53" w:rsidRPr="004622D1">
        <w:rPr>
          <w:color w:val="000000"/>
        </w:rPr>
        <w:t xml:space="preserve"> moderado </w:t>
      </w:r>
      <w:r w:rsidR="00DD0ED5">
        <w:rPr>
          <w:color w:val="000000"/>
        </w:rPr>
        <w:t>(</w:t>
      </w:r>
      <w:r w:rsidR="00822A53" w:rsidRPr="004622D1">
        <w:rPr>
          <w:color w:val="000000"/>
        </w:rPr>
        <w:t>48.2 frente a 47.8 en octubre</w:t>
      </w:r>
      <w:r w:rsidR="00DD0ED5">
        <w:rPr>
          <w:color w:val="000000"/>
        </w:rPr>
        <w:t>)</w:t>
      </w:r>
      <w:r w:rsidR="00822A53" w:rsidRPr="004622D1">
        <w:rPr>
          <w:color w:val="000000"/>
        </w:rPr>
        <w:t xml:space="preserve">. En el caso español, en octubre, el sector servicios </w:t>
      </w:r>
      <w:r w:rsidR="00C2564A" w:rsidRPr="004622D1">
        <w:rPr>
          <w:color w:val="000000"/>
        </w:rPr>
        <w:t>refleja el</w:t>
      </w:r>
      <w:r w:rsidR="00822A53" w:rsidRPr="004622D1">
        <w:rPr>
          <w:color w:val="000000"/>
        </w:rPr>
        <w:t xml:space="preserve"> mejor resultado desde el mes de julio situándose en 51.1 en octubre frente a 50.5 registrada en el mes anterior. </w:t>
      </w:r>
    </w:p>
    <w:p w14:paraId="74A1028D" w14:textId="63568338" w:rsidR="004F774A" w:rsidRPr="008869C4" w:rsidRDefault="0024444A" w:rsidP="00822A53">
      <w:pPr>
        <w:shd w:val="clear" w:color="auto" w:fill="FFFFFF"/>
        <w:spacing w:before="240" w:after="0"/>
        <w:jc w:val="both"/>
      </w:pPr>
      <w:r w:rsidRPr="004622D1">
        <w:rPr>
          <w:color w:val="000000"/>
        </w:rPr>
        <w:t>Las tasas de inflación parece que se van controlando tanto en España como en la zona Euro</w:t>
      </w:r>
      <w:r w:rsidR="00745778" w:rsidRPr="004622D1">
        <w:rPr>
          <w:color w:val="000000"/>
        </w:rPr>
        <w:t xml:space="preserve">, </w:t>
      </w:r>
      <w:r w:rsidR="00745778" w:rsidRPr="008869C4">
        <w:t>3,</w:t>
      </w:r>
      <w:r w:rsidR="00A3665F" w:rsidRPr="008869C4">
        <w:t>2</w:t>
      </w:r>
      <w:r w:rsidR="00745778" w:rsidRPr="008869C4">
        <w:t xml:space="preserve"> % y 2,</w:t>
      </w:r>
      <w:r w:rsidR="008869C4" w:rsidRPr="008869C4">
        <w:t xml:space="preserve">4 </w:t>
      </w:r>
      <w:r w:rsidR="00745778" w:rsidRPr="008869C4">
        <w:t>% en tasa interanual</w:t>
      </w:r>
      <w:r w:rsidR="00DD0ED5" w:rsidRPr="008869C4">
        <w:t>,</w:t>
      </w:r>
      <w:r w:rsidR="00745778" w:rsidRPr="008869C4">
        <w:t xml:space="preserve"> </w:t>
      </w:r>
      <w:r w:rsidR="00745778" w:rsidRPr="004622D1">
        <w:rPr>
          <w:color w:val="000000"/>
        </w:rPr>
        <w:t xml:space="preserve">respectivamente en noviembre. </w:t>
      </w:r>
      <w:r w:rsidR="00745778" w:rsidRPr="008869C4">
        <w:t xml:space="preserve">El diferencial </w:t>
      </w:r>
      <w:r w:rsidR="004F774A" w:rsidRPr="008869C4">
        <w:t>a favor de España, con un incremento menor de los precios que en la Zona Euro</w:t>
      </w:r>
      <w:r w:rsidR="00785BB4" w:rsidRPr="008869C4">
        <w:t xml:space="preserve"> </w:t>
      </w:r>
      <w:r w:rsidR="004F774A" w:rsidRPr="008869C4">
        <w:t xml:space="preserve">que se llevaba produciendo desde julio del 22, ha </w:t>
      </w:r>
      <w:r w:rsidR="008869C4" w:rsidRPr="008869C4">
        <w:t>cambiado de signo</w:t>
      </w:r>
      <w:r w:rsidR="004F774A" w:rsidRPr="008869C4">
        <w:t xml:space="preserve"> en octubre</w:t>
      </w:r>
      <w:r w:rsidR="00785BB4" w:rsidRPr="008869C4">
        <w:t xml:space="preserve"> y noviembre</w:t>
      </w:r>
      <w:r w:rsidR="004F774A" w:rsidRPr="008869C4">
        <w:t>, debido fundamentalmente a la bajada de precios e</w:t>
      </w:r>
      <w:r w:rsidR="00785BB4" w:rsidRPr="008869C4">
        <w:t xml:space="preserve">n Bélgica, (-0,7%) Italia (0,7%), Portugal </w:t>
      </w:r>
      <w:r w:rsidR="008869C4" w:rsidRPr="008869C4">
        <w:t>(</w:t>
      </w:r>
      <w:r w:rsidR="00785BB4" w:rsidRPr="008869C4">
        <w:t>2,3%</w:t>
      </w:r>
      <w:r w:rsidR="008869C4" w:rsidRPr="008869C4">
        <w:t>)</w:t>
      </w:r>
      <w:r w:rsidR="00785BB4" w:rsidRPr="008869C4">
        <w:t xml:space="preserve"> </w:t>
      </w:r>
      <w:r w:rsidR="008869C4" w:rsidRPr="008869C4">
        <w:t>o</w:t>
      </w:r>
      <w:r w:rsidR="00785BB4" w:rsidRPr="008869C4">
        <w:t xml:space="preserve"> Alemania (2,3%) entre otros</w:t>
      </w:r>
      <w:r w:rsidR="004622D1" w:rsidRPr="008869C4">
        <w:t>.</w:t>
      </w:r>
    </w:p>
    <w:p w14:paraId="40C9D4FB" w14:textId="77777777" w:rsidR="004622D1" w:rsidRPr="004622D1" w:rsidRDefault="004622D1" w:rsidP="00822A53">
      <w:pPr>
        <w:shd w:val="clear" w:color="auto" w:fill="FFFFFF"/>
        <w:spacing w:before="240" w:after="0"/>
        <w:jc w:val="both"/>
        <w:rPr>
          <w:color w:val="000000"/>
        </w:rPr>
      </w:pP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6A31B6" w:rsidRPr="006A31B6" w14:paraId="64A971B1" w14:textId="77777777" w:rsidTr="006A31B6">
        <w:trPr>
          <w:trHeight w:val="300"/>
          <w:jc w:val="center"/>
        </w:trPr>
        <w:tc>
          <w:tcPr>
            <w:tcW w:w="1200" w:type="dxa"/>
            <w:tcBorders>
              <w:top w:val="single" w:sz="8" w:space="0" w:color="8EA9DB"/>
              <w:left w:val="single" w:sz="8" w:space="0" w:color="8EA9DB"/>
              <w:bottom w:val="nil"/>
              <w:right w:val="nil"/>
            </w:tcBorders>
            <w:shd w:val="clear" w:color="E7E6E6" w:fill="BDD7EE"/>
            <w:noWrap/>
            <w:vAlign w:val="center"/>
            <w:hideMark/>
          </w:tcPr>
          <w:p w14:paraId="5FEDFB8E" w14:textId="77777777" w:rsidR="006A31B6" w:rsidRPr="006A31B6" w:rsidRDefault="006A31B6" w:rsidP="006A31B6">
            <w:pPr>
              <w:suppressAutoHyphens w:val="0"/>
              <w:autoSpaceDN/>
              <w:spacing w:after="0"/>
              <w:jc w:val="center"/>
              <w:textAlignment w:val="auto"/>
              <w:rPr>
                <w:rFonts w:ascii="Arial" w:eastAsia="Times New Roman" w:hAnsi="Arial" w:cs="Arial"/>
                <w:b/>
                <w:bCs/>
                <w:color w:val="000000"/>
                <w:sz w:val="16"/>
                <w:szCs w:val="16"/>
                <w:lang w:val="es-ES_tradnl" w:eastAsia="es-ES_tradnl"/>
              </w:rPr>
            </w:pPr>
            <w:r w:rsidRPr="006A31B6">
              <w:rPr>
                <w:rFonts w:ascii="Arial" w:eastAsia="Times New Roman" w:hAnsi="Arial" w:cs="Arial"/>
                <w:b/>
                <w:bCs/>
                <w:color w:val="000000"/>
                <w:sz w:val="16"/>
                <w:szCs w:val="16"/>
                <w:lang w:val="es-ES_tradnl" w:eastAsia="es-ES_tradnl"/>
              </w:rPr>
              <w:t>IPCA</w:t>
            </w:r>
          </w:p>
        </w:tc>
        <w:tc>
          <w:tcPr>
            <w:tcW w:w="1200" w:type="dxa"/>
            <w:tcBorders>
              <w:top w:val="single" w:sz="8" w:space="0" w:color="8EA9DB"/>
              <w:left w:val="nil"/>
              <w:bottom w:val="nil"/>
              <w:right w:val="nil"/>
            </w:tcBorders>
            <w:shd w:val="clear" w:color="E7E6E6" w:fill="BDD7EE"/>
            <w:noWrap/>
            <w:vAlign w:val="center"/>
            <w:hideMark/>
          </w:tcPr>
          <w:p w14:paraId="47D854D8" w14:textId="77777777" w:rsidR="006A31B6" w:rsidRPr="006A31B6" w:rsidRDefault="006A31B6" w:rsidP="006A31B6">
            <w:pPr>
              <w:suppressAutoHyphens w:val="0"/>
              <w:autoSpaceDN/>
              <w:spacing w:after="0"/>
              <w:jc w:val="center"/>
              <w:textAlignment w:val="auto"/>
              <w:rPr>
                <w:rFonts w:ascii="Arial" w:eastAsia="Times New Roman" w:hAnsi="Arial" w:cs="Arial"/>
                <w:b/>
                <w:bCs/>
                <w:color w:val="000000"/>
                <w:sz w:val="16"/>
                <w:szCs w:val="16"/>
                <w:lang w:val="es-ES_tradnl" w:eastAsia="es-ES_tradnl"/>
              </w:rPr>
            </w:pPr>
            <w:r w:rsidRPr="006A31B6">
              <w:rPr>
                <w:rFonts w:ascii="Arial" w:eastAsia="Times New Roman" w:hAnsi="Arial" w:cs="Arial"/>
                <w:b/>
                <w:bCs/>
                <w:color w:val="000000"/>
                <w:sz w:val="16"/>
                <w:szCs w:val="16"/>
                <w:lang w:val="es-ES_tradnl" w:eastAsia="es-ES_tradnl"/>
              </w:rPr>
              <w:t>España</w:t>
            </w:r>
          </w:p>
        </w:tc>
        <w:tc>
          <w:tcPr>
            <w:tcW w:w="1200" w:type="dxa"/>
            <w:tcBorders>
              <w:top w:val="single" w:sz="8" w:space="0" w:color="8EA9DB"/>
              <w:left w:val="nil"/>
              <w:bottom w:val="nil"/>
              <w:right w:val="nil"/>
            </w:tcBorders>
            <w:shd w:val="clear" w:color="E7E6E6" w:fill="BDD7EE"/>
            <w:noWrap/>
            <w:vAlign w:val="center"/>
            <w:hideMark/>
          </w:tcPr>
          <w:p w14:paraId="513BCFA3" w14:textId="77777777" w:rsidR="006A31B6" w:rsidRPr="006A31B6" w:rsidRDefault="006A31B6" w:rsidP="006A31B6">
            <w:pPr>
              <w:suppressAutoHyphens w:val="0"/>
              <w:autoSpaceDN/>
              <w:spacing w:after="0"/>
              <w:jc w:val="center"/>
              <w:textAlignment w:val="auto"/>
              <w:rPr>
                <w:rFonts w:ascii="Arial" w:eastAsia="Times New Roman" w:hAnsi="Arial" w:cs="Arial"/>
                <w:b/>
                <w:bCs/>
                <w:color w:val="000000"/>
                <w:sz w:val="16"/>
                <w:szCs w:val="16"/>
                <w:lang w:val="es-ES_tradnl" w:eastAsia="es-ES_tradnl"/>
              </w:rPr>
            </w:pPr>
            <w:r w:rsidRPr="006A31B6">
              <w:rPr>
                <w:rFonts w:ascii="Arial" w:eastAsia="Times New Roman" w:hAnsi="Arial" w:cs="Arial"/>
                <w:b/>
                <w:bCs/>
                <w:color w:val="000000"/>
                <w:sz w:val="16"/>
                <w:szCs w:val="16"/>
                <w:lang w:val="es-ES_tradnl" w:eastAsia="es-ES_tradnl"/>
              </w:rPr>
              <w:t>Zona Euro</w:t>
            </w:r>
          </w:p>
        </w:tc>
        <w:tc>
          <w:tcPr>
            <w:tcW w:w="1200" w:type="dxa"/>
            <w:tcBorders>
              <w:top w:val="single" w:sz="8" w:space="0" w:color="8EA9DB"/>
              <w:left w:val="nil"/>
              <w:bottom w:val="nil"/>
              <w:right w:val="single" w:sz="8" w:space="0" w:color="8EA9DB"/>
            </w:tcBorders>
            <w:shd w:val="clear" w:color="E7E6E6" w:fill="BDD7EE"/>
            <w:noWrap/>
            <w:vAlign w:val="center"/>
            <w:hideMark/>
          </w:tcPr>
          <w:p w14:paraId="7E999300" w14:textId="77777777" w:rsidR="006A31B6" w:rsidRPr="006A31B6" w:rsidRDefault="006A31B6" w:rsidP="006A31B6">
            <w:pPr>
              <w:suppressAutoHyphens w:val="0"/>
              <w:autoSpaceDN/>
              <w:spacing w:after="0"/>
              <w:jc w:val="center"/>
              <w:textAlignment w:val="auto"/>
              <w:rPr>
                <w:rFonts w:ascii="Arial" w:eastAsia="Times New Roman" w:hAnsi="Arial" w:cs="Arial"/>
                <w:b/>
                <w:bCs/>
                <w:color w:val="000000"/>
                <w:sz w:val="16"/>
                <w:szCs w:val="16"/>
                <w:lang w:val="es-ES_tradnl" w:eastAsia="es-ES_tradnl"/>
              </w:rPr>
            </w:pPr>
            <w:r w:rsidRPr="006A31B6">
              <w:rPr>
                <w:rFonts w:ascii="Arial" w:eastAsia="Times New Roman" w:hAnsi="Arial" w:cs="Arial"/>
                <w:b/>
                <w:bCs/>
                <w:color w:val="000000"/>
                <w:sz w:val="16"/>
                <w:szCs w:val="16"/>
                <w:lang w:val="es-ES_tradnl" w:eastAsia="es-ES_tradnl"/>
              </w:rPr>
              <w:t>Diferencial</w:t>
            </w:r>
          </w:p>
        </w:tc>
      </w:tr>
      <w:tr w:rsidR="006A31B6" w:rsidRPr="006A31B6" w14:paraId="6DE01E6A" w14:textId="77777777" w:rsidTr="006A31B6">
        <w:trPr>
          <w:trHeight w:val="300"/>
          <w:jc w:val="center"/>
        </w:trPr>
        <w:tc>
          <w:tcPr>
            <w:tcW w:w="1200" w:type="dxa"/>
            <w:tcBorders>
              <w:top w:val="single" w:sz="4" w:space="0" w:color="8EA9DB"/>
              <w:left w:val="single" w:sz="8" w:space="0" w:color="8EA9DB"/>
              <w:bottom w:val="single" w:sz="4" w:space="0" w:color="8EA9DB"/>
              <w:right w:val="nil"/>
            </w:tcBorders>
            <w:shd w:val="clear" w:color="F0E4D3" w:fill="D9E1F2"/>
            <w:noWrap/>
            <w:hideMark/>
          </w:tcPr>
          <w:p w14:paraId="537B7588"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nov-23</w:t>
            </w:r>
          </w:p>
        </w:tc>
        <w:tc>
          <w:tcPr>
            <w:tcW w:w="1200" w:type="dxa"/>
            <w:tcBorders>
              <w:top w:val="single" w:sz="4" w:space="0" w:color="8EA9DB"/>
              <w:left w:val="nil"/>
              <w:bottom w:val="single" w:sz="4" w:space="0" w:color="8EA9DB"/>
              <w:right w:val="nil"/>
            </w:tcBorders>
            <w:shd w:val="clear" w:color="F0E4D3" w:fill="D9E1F2"/>
            <w:noWrap/>
            <w:hideMark/>
          </w:tcPr>
          <w:p w14:paraId="4258C144"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3,20%</w:t>
            </w:r>
          </w:p>
        </w:tc>
        <w:tc>
          <w:tcPr>
            <w:tcW w:w="1200" w:type="dxa"/>
            <w:tcBorders>
              <w:top w:val="single" w:sz="4" w:space="0" w:color="8EA9DB"/>
              <w:left w:val="nil"/>
              <w:bottom w:val="single" w:sz="4" w:space="0" w:color="8EA9DB"/>
              <w:right w:val="nil"/>
            </w:tcBorders>
            <w:shd w:val="clear" w:color="F0E4D3" w:fill="D9E1F2"/>
            <w:noWrap/>
            <w:hideMark/>
          </w:tcPr>
          <w:p w14:paraId="61FB25E4"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2,40%</w:t>
            </w:r>
          </w:p>
        </w:tc>
        <w:tc>
          <w:tcPr>
            <w:tcW w:w="1200" w:type="dxa"/>
            <w:tcBorders>
              <w:top w:val="single" w:sz="4" w:space="0" w:color="8EA9DB"/>
              <w:left w:val="nil"/>
              <w:bottom w:val="single" w:sz="4" w:space="0" w:color="8EA9DB"/>
              <w:right w:val="single" w:sz="8" w:space="0" w:color="8EA9DB"/>
            </w:tcBorders>
            <w:shd w:val="clear" w:color="F0E4D3" w:fill="D9E1F2"/>
            <w:noWrap/>
            <w:hideMark/>
          </w:tcPr>
          <w:p w14:paraId="7AE99403"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0,80%</w:t>
            </w:r>
          </w:p>
        </w:tc>
      </w:tr>
      <w:tr w:rsidR="006A31B6" w:rsidRPr="006A31B6" w14:paraId="03D29C13" w14:textId="77777777" w:rsidTr="006A31B6">
        <w:trPr>
          <w:trHeight w:val="300"/>
          <w:jc w:val="center"/>
        </w:trPr>
        <w:tc>
          <w:tcPr>
            <w:tcW w:w="1200" w:type="dxa"/>
            <w:tcBorders>
              <w:top w:val="nil"/>
              <w:left w:val="single" w:sz="8" w:space="0" w:color="8EA9DB"/>
              <w:bottom w:val="single" w:sz="4" w:space="0" w:color="8EA9DB"/>
              <w:right w:val="nil"/>
            </w:tcBorders>
            <w:shd w:val="clear" w:color="FFF1E0" w:fill="B4C6E7"/>
            <w:noWrap/>
            <w:hideMark/>
          </w:tcPr>
          <w:p w14:paraId="49FBB4EE"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oct-23</w:t>
            </w:r>
          </w:p>
        </w:tc>
        <w:tc>
          <w:tcPr>
            <w:tcW w:w="1200" w:type="dxa"/>
            <w:tcBorders>
              <w:top w:val="nil"/>
              <w:left w:val="nil"/>
              <w:bottom w:val="single" w:sz="4" w:space="0" w:color="8EA9DB"/>
              <w:right w:val="nil"/>
            </w:tcBorders>
            <w:shd w:val="clear" w:color="FFF1E0" w:fill="B4C6E7"/>
            <w:noWrap/>
            <w:hideMark/>
          </w:tcPr>
          <w:p w14:paraId="5858E201"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3,50%</w:t>
            </w:r>
          </w:p>
        </w:tc>
        <w:tc>
          <w:tcPr>
            <w:tcW w:w="1200" w:type="dxa"/>
            <w:tcBorders>
              <w:top w:val="nil"/>
              <w:left w:val="nil"/>
              <w:bottom w:val="single" w:sz="4" w:space="0" w:color="8EA9DB"/>
              <w:right w:val="nil"/>
            </w:tcBorders>
            <w:shd w:val="clear" w:color="FFF1E0" w:fill="B4C6E7"/>
            <w:noWrap/>
            <w:hideMark/>
          </w:tcPr>
          <w:p w14:paraId="64E32E82"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2,90%</w:t>
            </w:r>
          </w:p>
        </w:tc>
        <w:tc>
          <w:tcPr>
            <w:tcW w:w="1200" w:type="dxa"/>
            <w:tcBorders>
              <w:top w:val="nil"/>
              <w:left w:val="nil"/>
              <w:bottom w:val="single" w:sz="4" w:space="0" w:color="8EA9DB"/>
              <w:right w:val="single" w:sz="8" w:space="0" w:color="8EA9DB"/>
            </w:tcBorders>
            <w:shd w:val="clear" w:color="FFF1E0" w:fill="B4C6E7"/>
            <w:noWrap/>
            <w:hideMark/>
          </w:tcPr>
          <w:p w14:paraId="7A7C0B83"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0,60%</w:t>
            </w:r>
          </w:p>
        </w:tc>
      </w:tr>
      <w:tr w:rsidR="006A31B6" w:rsidRPr="006A31B6" w14:paraId="193F6DD6" w14:textId="77777777" w:rsidTr="006A31B6">
        <w:trPr>
          <w:trHeight w:val="300"/>
          <w:jc w:val="center"/>
        </w:trPr>
        <w:tc>
          <w:tcPr>
            <w:tcW w:w="1200" w:type="dxa"/>
            <w:tcBorders>
              <w:top w:val="nil"/>
              <w:left w:val="single" w:sz="8" w:space="0" w:color="8EA9DB"/>
              <w:bottom w:val="single" w:sz="4" w:space="0" w:color="8EA9DB"/>
              <w:right w:val="nil"/>
            </w:tcBorders>
            <w:shd w:val="clear" w:color="F0E4D3" w:fill="D9E1F2"/>
            <w:noWrap/>
            <w:hideMark/>
          </w:tcPr>
          <w:p w14:paraId="41BA4591"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sep-23</w:t>
            </w:r>
          </w:p>
        </w:tc>
        <w:tc>
          <w:tcPr>
            <w:tcW w:w="1200" w:type="dxa"/>
            <w:tcBorders>
              <w:top w:val="nil"/>
              <w:left w:val="nil"/>
              <w:bottom w:val="single" w:sz="4" w:space="0" w:color="8EA9DB"/>
              <w:right w:val="nil"/>
            </w:tcBorders>
            <w:shd w:val="clear" w:color="F0E4D3" w:fill="D9E1F2"/>
            <w:noWrap/>
            <w:hideMark/>
          </w:tcPr>
          <w:p w14:paraId="220B9C27"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3,30%</w:t>
            </w:r>
          </w:p>
        </w:tc>
        <w:tc>
          <w:tcPr>
            <w:tcW w:w="1200" w:type="dxa"/>
            <w:tcBorders>
              <w:top w:val="nil"/>
              <w:left w:val="nil"/>
              <w:bottom w:val="single" w:sz="4" w:space="0" w:color="8EA9DB"/>
              <w:right w:val="nil"/>
            </w:tcBorders>
            <w:shd w:val="clear" w:color="F0E4D3" w:fill="D9E1F2"/>
            <w:noWrap/>
            <w:hideMark/>
          </w:tcPr>
          <w:p w14:paraId="32723ACB"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4,30%</w:t>
            </w:r>
          </w:p>
        </w:tc>
        <w:tc>
          <w:tcPr>
            <w:tcW w:w="1200" w:type="dxa"/>
            <w:tcBorders>
              <w:top w:val="nil"/>
              <w:left w:val="nil"/>
              <w:bottom w:val="single" w:sz="4" w:space="0" w:color="8EA9DB"/>
              <w:right w:val="single" w:sz="8" w:space="0" w:color="8EA9DB"/>
            </w:tcBorders>
            <w:shd w:val="clear" w:color="F0E4D3" w:fill="D9E1F2"/>
            <w:noWrap/>
            <w:hideMark/>
          </w:tcPr>
          <w:p w14:paraId="6346412E"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-1,00%</w:t>
            </w:r>
          </w:p>
        </w:tc>
      </w:tr>
      <w:tr w:rsidR="006A31B6" w:rsidRPr="006A31B6" w14:paraId="4C8D07B6" w14:textId="77777777" w:rsidTr="006A31B6">
        <w:trPr>
          <w:trHeight w:val="300"/>
          <w:jc w:val="center"/>
        </w:trPr>
        <w:tc>
          <w:tcPr>
            <w:tcW w:w="1200" w:type="dxa"/>
            <w:tcBorders>
              <w:top w:val="nil"/>
              <w:left w:val="single" w:sz="8" w:space="0" w:color="8EA9DB"/>
              <w:bottom w:val="single" w:sz="4" w:space="0" w:color="8EA9DB"/>
              <w:right w:val="nil"/>
            </w:tcBorders>
            <w:shd w:val="clear" w:color="FFF1E0" w:fill="B4C6E7"/>
            <w:noWrap/>
            <w:hideMark/>
          </w:tcPr>
          <w:p w14:paraId="31656257"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ago-23</w:t>
            </w:r>
          </w:p>
        </w:tc>
        <w:tc>
          <w:tcPr>
            <w:tcW w:w="1200" w:type="dxa"/>
            <w:tcBorders>
              <w:top w:val="nil"/>
              <w:left w:val="nil"/>
              <w:bottom w:val="single" w:sz="4" w:space="0" w:color="8EA9DB"/>
              <w:right w:val="nil"/>
            </w:tcBorders>
            <w:shd w:val="clear" w:color="FFF1E0" w:fill="B4C6E7"/>
            <w:noWrap/>
            <w:hideMark/>
          </w:tcPr>
          <w:p w14:paraId="197A74E8"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2,40%</w:t>
            </w:r>
          </w:p>
        </w:tc>
        <w:tc>
          <w:tcPr>
            <w:tcW w:w="1200" w:type="dxa"/>
            <w:tcBorders>
              <w:top w:val="nil"/>
              <w:left w:val="nil"/>
              <w:bottom w:val="single" w:sz="4" w:space="0" w:color="8EA9DB"/>
              <w:right w:val="nil"/>
            </w:tcBorders>
            <w:shd w:val="clear" w:color="FFF1E0" w:fill="B4C6E7"/>
            <w:noWrap/>
            <w:hideMark/>
          </w:tcPr>
          <w:p w14:paraId="09E39ED5"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5,20%</w:t>
            </w:r>
          </w:p>
        </w:tc>
        <w:tc>
          <w:tcPr>
            <w:tcW w:w="1200" w:type="dxa"/>
            <w:tcBorders>
              <w:top w:val="nil"/>
              <w:left w:val="nil"/>
              <w:bottom w:val="single" w:sz="4" w:space="0" w:color="8EA9DB"/>
              <w:right w:val="single" w:sz="8" w:space="0" w:color="8EA9DB"/>
            </w:tcBorders>
            <w:shd w:val="clear" w:color="FFF1E0" w:fill="B4C6E7"/>
            <w:noWrap/>
            <w:hideMark/>
          </w:tcPr>
          <w:p w14:paraId="7C510DD8"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-2,80%</w:t>
            </w:r>
          </w:p>
        </w:tc>
      </w:tr>
      <w:tr w:rsidR="006A31B6" w:rsidRPr="006A31B6" w14:paraId="6C7132E7" w14:textId="77777777" w:rsidTr="006A31B6">
        <w:trPr>
          <w:trHeight w:val="300"/>
          <w:jc w:val="center"/>
        </w:trPr>
        <w:tc>
          <w:tcPr>
            <w:tcW w:w="1200" w:type="dxa"/>
            <w:tcBorders>
              <w:top w:val="nil"/>
              <w:left w:val="single" w:sz="8" w:space="0" w:color="8EA9DB"/>
              <w:bottom w:val="single" w:sz="4" w:space="0" w:color="8EA9DB"/>
              <w:right w:val="nil"/>
            </w:tcBorders>
            <w:shd w:val="clear" w:color="F0E4D3" w:fill="D9E1F2"/>
            <w:noWrap/>
            <w:hideMark/>
          </w:tcPr>
          <w:p w14:paraId="596DAEDA"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jul-23</w:t>
            </w:r>
          </w:p>
        </w:tc>
        <w:tc>
          <w:tcPr>
            <w:tcW w:w="1200" w:type="dxa"/>
            <w:tcBorders>
              <w:top w:val="nil"/>
              <w:left w:val="nil"/>
              <w:bottom w:val="single" w:sz="4" w:space="0" w:color="8EA9DB"/>
              <w:right w:val="nil"/>
            </w:tcBorders>
            <w:shd w:val="clear" w:color="F0E4D3" w:fill="D9E1F2"/>
            <w:noWrap/>
            <w:hideMark/>
          </w:tcPr>
          <w:p w14:paraId="5FD9C3F3"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2,10%</w:t>
            </w:r>
          </w:p>
        </w:tc>
        <w:tc>
          <w:tcPr>
            <w:tcW w:w="1200" w:type="dxa"/>
            <w:tcBorders>
              <w:top w:val="nil"/>
              <w:left w:val="nil"/>
              <w:bottom w:val="single" w:sz="4" w:space="0" w:color="8EA9DB"/>
              <w:right w:val="nil"/>
            </w:tcBorders>
            <w:shd w:val="clear" w:color="F0E4D3" w:fill="D9E1F2"/>
            <w:noWrap/>
            <w:hideMark/>
          </w:tcPr>
          <w:p w14:paraId="403F2A8D"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5,30%</w:t>
            </w:r>
          </w:p>
        </w:tc>
        <w:tc>
          <w:tcPr>
            <w:tcW w:w="1200" w:type="dxa"/>
            <w:tcBorders>
              <w:top w:val="nil"/>
              <w:left w:val="nil"/>
              <w:bottom w:val="single" w:sz="4" w:space="0" w:color="8EA9DB"/>
              <w:right w:val="single" w:sz="8" w:space="0" w:color="8EA9DB"/>
            </w:tcBorders>
            <w:shd w:val="clear" w:color="F0E4D3" w:fill="D9E1F2"/>
            <w:noWrap/>
            <w:hideMark/>
          </w:tcPr>
          <w:p w14:paraId="525044EE"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-3,20%</w:t>
            </w:r>
          </w:p>
        </w:tc>
      </w:tr>
      <w:tr w:rsidR="006A31B6" w:rsidRPr="006A31B6" w14:paraId="62B16F81" w14:textId="77777777" w:rsidTr="006A31B6">
        <w:trPr>
          <w:trHeight w:val="300"/>
          <w:jc w:val="center"/>
        </w:trPr>
        <w:tc>
          <w:tcPr>
            <w:tcW w:w="1200" w:type="dxa"/>
            <w:tcBorders>
              <w:top w:val="nil"/>
              <w:left w:val="single" w:sz="8" w:space="0" w:color="8EA9DB"/>
              <w:bottom w:val="single" w:sz="4" w:space="0" w:color="8EA9DB"/>
              <w:right w:val="nil"/>
            </w:tcBorders>
            <w:shd w:val="clear" w:color="FFF1E0" w:fill="B4C6E7"/>
            <w:noWrap/>
            <w:hideMark/>
          </w:tcPr>
          <w:p w14:paraId="4DBABCF5"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jun-23</w:t>
            </w:r>
          </w:p>
        </w:tc>
        <w:tc>
          <w:tcPr>
            <w:tcW w:w="1200" w:type="dxa"/>
            <w:tcBorders>
              <w:top w:val="nil"/>
              <w:left w:val="nil"/>
              <w:bottom w:val="single" w:sz="4" w:space="0" w:color="8EA9DB"/>
              <w:right w:val="nil"/>
            </w:tcBorders>
            <w:shd w:val="clear" w:color="FFF1E0" w:fill="B4C6E7"/>
            <w:noWrap/>
            <w:hideMark/>
          </w:tcPr>
          <w:p w14:paraId="0FEFD25B"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1,60%</w:t>
            </w:r>
          </w:p>
        </w:tc>
        <w:tc>
          <w:tcPr>
            <w:tcW w:w="1200" w:type="dxa"/>
            <w:tcBorders>
              <w:top w:val="nil"/>
              <w:left w:val="nil"/>
              <w:bottom w:val="single" w:sz="4" w:space="0" w:color="8EA9DB"/>
              <w:right w:val="nil"/>
            </w:tcBorders>
            <w:shd w:val="clear" w:color="FFF1E0" w:fill="B4C6E7"/>
            <w:noWrap/>
            <w:hideMark/>
          </w:tcPr>
          <w:p w14:paraId="7E65AE3E"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5,50%</w:t>
            </w:r>
          </w:p>
        </w:tc>
        <w:tc>
          <w:tcPr>
            <w:tcW w:w="1200" w:type="dxa"/>
            <w:tcBorders>
              <w:top w:val="nil"/>
              <w:left w:val="nil"/>
              <w:bottom w:val="single" w:sz="4" w:space="0" w:color="8EA9DB"/>
              <w:right w:val="single" w:sz="8" w:space="0" w:color="8EA9DB"/>
            </w:tcBorders>
            <w:shd w:val="clear" w:color="FFF1E0" w:fill="B4C6E7"/>
            <w:noWrap/>
            <w:hideMark/>
          </w:tcPr>
          <w:p w14:paraId="1DDA81C7"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-3,90%</w:t>
            </w:r>
          </w:p>
        </w:tc>
      </w:tr>
      <w:tr w:rsidR="006A31B6" w:rsidRPr="006A31B6" w14:paraId="3AEB7F7B" w14:textId="77777777" w:rsidTr="006A31B6">
        <w:trPr>
          <w:trHeight w:val="300"/>
          <w:jc w:val="center"/>
        </w:trPr>
        <w:tc>
          <w:tcPr>
            <w:tcW w:w="1200" w:type="dxa"/>
            <w:tcBorders>
              <w:top w:val="nil"/>
              <w:left w:val="single" w:sz="8" w:space="0" w:color="8EA9DB"/>
              <w:bottom w:val="single" w:sz="4" w:space="0" w:color="8EA9DB"/>
              <w:right w:val="nil"/>
            </w:tcBorders>
            <w:shd w:val="clear" w:color="F0E4D3" w:fill="D9E1F2"/>
            <w:noWrap/>
            <w:hideMark/>
          </w:tcPr>
          <w:p w14:paraId="4C0F9B41"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may-23</w:t>
            </w:r>
          </w:p>
        </w:tc>
        <w:tc>
          <w:tcPr>
            <w:tcW w:w="1200" w:type="dxa"/>
            <w:tcBorders>
              <w:top w:val="nil"/>
              <w:left w:val="nil"/>
              <w:bottom w:val="single" w:sz="4" w:space="0" w:color="8EA9DB"/>
              <w:right w:val="nil"/>
            </w:tcBorders>
            <w:shd w:val="clear" w:color="F0E4D3" w:fill="D9E1F2"/>
            <w:noWrap/>
            <w:hideMark/>
          </w:tcPr>
          <w:p w14:paraId="0DC3DBF7"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2,90%</w:t>
            </w:r>
          </w:p>
        </w:tc>
        <w:tc>
          <w:tcPr>
            <w:tcW w:w="1200" w:type="dxa"/>
            <w:tcBorders>
              <w:top w:val="nil"/>
              <w:left w:val="nil"/>
              <w:bottom w:val="single" w:sz="4" w:space="0" w:color="8EA9DB"/>
              <w:right w:val="nil"/>
            </w:tcBorders>
            <w:shd w:val="clear" w:color="F0E4D3" w:fill="D9E1F2"/>
            <w:noWrap/>
            <w:hideMark/>
          </w:tcPr>
          <w:p w14:paraId="2DDA53EB"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6,10%</w:t>
            </w:r>
          </w:p>
        </w:tc>
        <w:tc>
          <w:tcPr>
            <w:tcW w:w="1200" w:type="dxa"/>
            <w:tcBorders>
              <w:top w:val="nil"/>
              <w:left w:val="nil"/>
              <w:bottom w:val="single" w:sz="4" w:space="0" w:color="8EA9DB"/>
              <w:right w:val="single" w:sz="8" w:space="0" w:color="8EA9DB"/>
            </w:tcBorders>
            <w:shd w:val="clear" w:color="F0E4D3" w:fill="D9E1F2"/>
            <w:noWrap/>
            <w:hideMark/>
          </w:tcPr>
          <w:p w14:paraId="2BD23943"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-3,20%</w:t>
            </w:r>
          </w:p>
        </w:tc>
      </w:tr>
      <w:tr w:rsidR="006A31B6" w:rsidRPr="006A31B6" w14:paraId="14C69B56" w14:textId="77777777" w:rsidTr="006A31B6">
        <w:trPr>
          <w:trHeight w:val="300"/>
          <w:jc w:val="center"/>
        </w:trPr>
        <w:tc>
          <w:tcPr>
            <w:tcW w:w="1200" w:type="dxa"/>
            <w:tcBorders>
              <w:top w:val="nil"/>
              <w:left w:val="single" w:sz="8" w:space="0" w:color="8EA9DB"/>
              <w:bottom w:val="single" w:sz="4" w:space="0" w:color="8EA9DB"/>
              <w:right w:val="nil"/>
            </w:tcBorders>
            <w:shd w:val="clear" w:color="FFF1E0" w:fill="B4C6E7"/>
            <w:noWrap/>
            <w:hideMark/>
          </w:tcPr>
          <w:p w14:paraId="778657BD"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abr-23</w:t>
            </w:r>
          </w:p>
        </w:tc>
        <w:tc>
          <w:tcPr>
            <w:tcW w:w="1200" w:type="dxa"/>
            <w:tcBorders>
              <w:top w:val="nil"/>
              <w:left w:val="nil"/>
              <w:bottom w:val="single" w:sz="4" w:space="0" w:color="8EA9DB"/>
              <w:right w:val="nil"/>
            </w:tcBorders>
            <w:shd w:val="clear" w:color="FFF1E0" w:fill="B4C6E7"/>
            <w:noWrap/>
            <w:hideMark/>
          </w:tcPr>
          <w:p w14:paraId="77E0E77E"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3,80%</w:t>
            </w:r>
          </w:p>
        </w:tc>
        <w:tc>
          <w:tcPr>
            <w:tcW w:w="1200" w:type="dxa"/>
            <w:tcBorders>
              <w:top w:val="nil"/>
              <w:left w:val="nil"/>
              <w:bottom w:val="single" w:sz="4" w:space="0" w:color="8EA9DB"/>
              <w:right w:val="nil"/>
            </w:tcBorders>
            <w:shd w:val="clear" w:color="FFF1E0" w:fill="B4C6E7"/>
            <w:noWrap/>
            <w:hideMark/>
          </w:tcPr>
          <w:p w14:paraId="0A1DB41A"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7,00%</w:t>
            </w:r>
          </w:p>
        </w:tc>
        <w:tc>
          <w:tcPr>
            <w:tcW w:w="1200" w:type="dxa"/>
            <w:tcBorders>
              <w:top w:val="nil"/>
              <w:left w:val="nil"/>
              <w:bottom w:val="single" w:sz="4" w:space="0" w:color="8EA9DB"/>
              <w:right w:val="single" w:sz="8" w:space="0" w:color="8EA9DB"/>
            </w:tcBorders>
            <w:shd w:val="clear" w:color="FFF1E0" w:fill="B4C6E7"/>
            <w:noWrap/>
            <w:hideMark/>
          </w:tcPr>
          <w:p w14:paraId="30930F81"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-3,20%</w:t>
            </w:r>
          </w:p>
        </w:tc>
      </w:tr>
      <w:tr w:rsidR="006A31B6" w:rsidRPr="006A31B6" w14:paraId="0A63A19A" w14:textId="77777777" w:rsidTr="006A31B6">
        <w:trPr>
          <w:trHeight w:val="300"/>
          <w:jc w:val="center"/>
        </w:trPr>
        <w:tc>
          <w:tcPr>
            <w:tcW w:w="1200" w:type="dxa"/>
            <w:tcBorders>
              <w:top w:val="nil"/>
              <w:left w:val="single" w:sz="8" w:space="0" w:color="8EA9DB"/>
              <w:bottom w:val="single" w:sz="4" w:space="0" w:color="8EA9DB"/>
              <w:right w:val="nil"/>
            </w:tcBorders>
            <w:shd w:val="clear" w:color="F0E4D3" w:fill="D9E1F2"/>
            <w:noWrap/>
            <w:hideMark/>
          </w:tcPr>
          <w:p w14:paraId="2241F30F"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lastRenderedPageBreak/>
              <w:t>mar-23</w:t>
            </w:r>
          </w:p>
        </w:tc>
        <w:tc>
          <w:tcPr>
            <w:tcW w:w="1200" w:type="dxa"/>
            <w:tcBorders>
              <w:top w:val="nil"/>
              <w:left w:val="nil"/>
              <w:bottom w:val="single" w:sz="4" w:space="0" w:color="8EA9DB"/>
              <w:right w:val="nil"/>
            </w:tcBorders>
            <w:shd w:val="clear" w:color="F0E4D3" w:fill="D9E1F2"/>
            <w:noWrap/>
            <w:hideMark/>
          </w:tcPr>
          <w:p w14:paraId="57163E7F"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3,10%</w:t>
            </w:r>
          </w:p>
        </w:tc>
        <w:tc>
          <w:tcPr>
            <w:tcW w:w="1200" w:type="dxa"/>
            <w:tcBorders>
              <w:top w:val="nil"/>
              <w:left w:val="nil"/>
              <w:bottom w:val="single" w:sz="4" w:space="0" w:color="8EA9DB"/>
              <w:right w:val="nil"/>
            </w:tcBorders>
            <w:shd w:val="clear" w:color="F0E4D3" w:fill="D9E1F2"/>
            <w:noWrap/>
            <w:hideMark/>
          </w:tcPr>
          <w:p w14:paraId="0B6862E2"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6,90%</w:t>
            </w:r>
          </w:p>
        </w:tc>
        <w:tc>
          <w:tcPr>
            <w:tcW w:w="1200" w:type="dxa"/>
            <w:tcBorders>
              <w:top w:val="nil"/>
              <w:left w:val="nil"/>
              <w:bottom w:val="single" w:sz="4" w:space="0" w:color="8EA9DB"/>
              <w:right w:val="single" w:sz="8" w:space="0" w:color="8EA9DB"/>
            </w:tcBorders>
            <w:shd w:val="clear" w:color="F0E4D3" w:fill="D9E1F2"/>
            <w:noWrap/>
            <w:hideMark/>
          </w:tcPr>
          <w:p w14:paraId="3EA63C49"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-3,80%</w:t>
            </w:r>
          </w:p>
        </w:tc>
      </w:tr>
      <w:tr w:rsidR="006A31B6" w:rsidRPr="006A31B6" w14:paraId="186CEC25" w14:textId="77777777" w:rsidTr="006A31B6">
        <w:trPr>
          <w:trHeight w:val="300"/>
          <w:jc w:val="center"/>
        </w:trPr>
        <w:tc>
          <w:tcPr>
            <w:tcW w:w="1200" w:type="dxa"/>
            <w:tcBorders>
              <w:top w:val="nil"/>
              <w:left w:val="single" w:sz="8" w:space="0" w:color="8EA9DB"/>
              <w:bottom w:val="single" w:sz="4" w:space="0" w:color="8EA9DB"/>
              <w:right w:val="nil"/>
            </w:tcBorders>
            <w:shd w:val="clear" w:color="FFF1E0" w:fill="B4C6E7"/>
            <w:noWrap/>
            <w:hideMark/>
          </w:tcPr>
          <w:p w14:paraId="2B3B45B2"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feb-23</w:t>
            </w:r>
          </w:p>
        </w:tc>
        <w:tc>
          <w:tcPr>
            <w:tcW w:w="1200" w:type="dxa"/>
            <w:tcBorders>
              <w:top w:val="nil"/>
              <w:left w:val="nil"/>
              <w:bottom w:val="single" w:sz="4" w:space="0" w:color="8EA9DB"/>
              <w:right w:val="nil"/>
            </w:tcBorders>
            <w:shd w:val="clear" w:color="FFF1E0" w:fill="B4C6E7"/>
            <w:noWrap/>
            <w:hideMark/>
          </w:tcPr>
          <w:p w14:paraId="1BED92B6"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6,00%</w:t>
            </w:r>
          </w:p>
        </w:tc>
        <w:tc>
          <w:tcPr>
            <w:tcW w:w="1200" w:type="dxa"/>
            <w:tcBorders>
              <w:top w:val="nil"/>
              <w:left w:val="nil"/>
              <w:bottom w:val="single" w:sz="4" w:space="0" w:color="8EA9DB"/>
              <w:right w:val="nil"/>
            </w:tcBorders>
            <w:shd w:val="clear" w:color="FFF1E0" w:fill="B4C6E7"/>
            <w:noWrap/>
            <w:hideMark/>
          </w:tcPr>
          <w:p w14:paraId="042209D1"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8,50%</w:t>
            </w:r>
          </w:p>
        </w:tc>
        <w:tc>
          <w:tcPr>
            <w:tcW w:w="1200" w:type="dxa"/>
            <w:tcBorders>
              <w:top w:val="nil"/>
              <w:left w:val="nil"/>
              <w:bottom w:val="single" w:sz="4" w:space="0" w:color="8EA9DB"/>
              <w:right w:val="single" w:sz="8" w:space="0" w:color="8EA9DB"/>
            </w:tcBorders>
            <w:shd w:val="clear" w:color="FFF1E0" w:fill="B4C6E7"/>
            <w:noWrap/>
            <w:hideMark/>
          </w:tcPr>
          <w:p w14:paraId="28DF4529"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-2,50%</w:t>
            </w:r>
          </w:p>
        </w:tc>
      </w:tr>
      <w:tr w:rsidR="006A31B6" w:rsidRPr="006A31B6" w14:paraId="29EB717E" w14:textId="77777777" w:rsidTr="006A31B6">
        <w:trPr>
          <w:trHeight w:val="300"/>
          <w:jc w:val="center"/>
        </w:trPr>
        <w:tc>
          <w:tcPr>
            <w:tcW w:w="1200" w:type="dxa"/>
            <w:tcBorders>
              <w:top w:val="nil"/>
              <w:left w:val="single" w:sz="8" w:space="0" w:color="8EA9DB"/>
              <w:bottom w:val="single" w:sz="8" w:space="0" w:color="8EA9DB"/>
              <w:right w:val="nil"/>
            </w:tcBorders>
            <w:shd w:val="clear" w:color="F0E4D3" w:fill="D9E1F2"/>
            <w:noWrap/>
            <w:hideMark/>
          </w:tcPr>
          <w:p w14:paraId="25AC0E67"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ene-23</w:t>
            </w:r>
          </w:p>
        </w:tc>
        <w:tc>
          <w:tcPr>
            <w:tcW w:w="1200" w:type="dxa"/>
            <w:tcBorders>
              <w:top w:val="nil"/>
              <w:left w:val="nil"/>
              <w:bottom w:val="single" w:sz="8" w:space="0" w:color="8EA9DB"/>
              <w:right w:val="nil"/>
            </w:tcBorders>
            <w:shd w:val="clear" w:color="F0E4D3" w:fill="D9E1F2"/>
            <w:noWrap/>
            <w:hideMark/>
          </w:tcPr>
          <w:p w14:paraId="54B1396B"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5,90%</w:t>
            </w:r>
          </w:p>
        </w:tc>
        <w:tc>
          <w:tcPr>
            <w:tcW w:w="1200" w:type="dxa"/>
            <w:tcBorders>
              <w:top w:val="nil"/>
              <w:left w:val="nil"/>
              <w:bottom w:val="single" w:sz="8" w:space="0" w:color="8EA9DB"/>
              <w:right w:val="nil"/>
            </w:tcBorders>
            <w:shd w:val="clear" w:color="F0E4D3" w:fill="D9E1F2"/>
            <w:noWrap/>
            <w:hideMark/>
          </w:tcPr>
          <w:p w14:paraId="2DF499F6"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8,60%</w:t>
            </w:r>
          </w:p>
        </w:tc>
        <w:tc>
          <w:tcPr>
            <w:tcW w:w="1200" w:type="dxa"/>
            <w:tcBorders>
              <w:top w:val="nil"/>
              <w:left w:val="nil"/>
              <w:bottom w:val="single" w:sz="8" w:space="0" w:color="8EA9DB"/>
              <w:right w:val="single" w:sz="8" w:space="0" w:color="8EA9DB"/>
            </w:tcBorders>
            <w:shd w:val="clear" w:color="F0E4D3" w:fill="D9E1F2"/>
            <w:noWrap/>
            <w:hideMark/>
          </w:tcPr>
          <w:p w14:paraId="1BC32EE9" w14:textId="77777777" w:rsidR="006A31B6" w:rsidRPr="006A31B6" w:rsidRDefault="006A31B6" w:rsidP="006A31B6">
            <w:pPr>
              <w:suppressAutoHyphens w:val="0"/>
              <w:autoSpaceDN/>
              <w:spacing w:after="0"/>
              <w:jc w:val="center"/>
              <w:textAlignment w:val="auto"/>
              <w:rPr>
                <w:rFonts w:ascii="Arial" w:eastAsia="Times New Roman" w:hAnsi="Arial" w:cs="Arial"/>
                <w:color w:val="333333"/>
                <w:sz w:val="12"/>
                <w:szCs w:val="12"/>
                <w:lang w:val="es-ES_tradnl" w:eastAsia="es-ES_tradnl"/>
              </w:rPr>
            </w:pPr>
            <w:r w:rsidRPr="006A31B6">
              <w:rPr>
                <w:rFonts w:ascii="Arial" w:eastAsia="Times New Roman" w:hAnsi="Arial" w:cs="Arial"/>
                <w:color w:val="333333"/>
                <w:sz w:val="12"/>
                <w:szCs w:val="12"/>
                <w:lang w:val="es-ES_tradnl" w:eastAsia="es-ES_tradnl"/>
              </w:rPr>
              <w:t>-2,70%</w:t>
            </w:r>
          </w:p>
        </w:tc>
      </w:tr>
    </w:tbl>
    <w:p w14:paraId="18F32445" w14:textId="77777777" w:rsidR="006A31B6" w:rsidRDefault="006A31B6" w:rsidP="00822A53">
      <w:pPr>
        <w:shd w:val="clear" w:color="auto" w:fill="FFFFFF"/>
        <w:spacing w:before="240" w:after="0"/>
        <w:jc w:val="both"/>
        <w:rPr>
          <w:color w:val="000000"/>
          <w:sz w:val="21"/>
          <w:szCs w:val="21"/>
        </w:rPr>
      </w:pPr>
    </w:p>
    <w:p w14:paraId="63CE987B" w14:textId="12557090" w:rsidR="004D5D85" w:rsidRPr="004622D1" w:rsidRDefault="00785BB4" w:rsidP="006A31B6">
      <w:pPr>
        <w:shd w:val="clear" w:color="auto" w:fill="FFFFFF"/>
        <w:spacing w:before="240"/>
        <w:jc w:val="both"/>
        <w:rPr>
          <w:color w:val="000000"/>
        </w:rPr>
      </w:pPr>
      <w:r w:rsidRPr="004622D1">
        <w:rPr>
          <w:color w:val="000000"/>
        </w:rPr>
        <w:t>La inflación subyacente</w:t>
      </w:r>
      <w:r w:rsidR="00A3665F">
        <w:rPr>
          <w:color w:val="000000"/>
        </w:rPr>
        <w:t>,</w:t>
      </w:r>
      <w:r w:rsidRPr="004622D1">
        <w:rPr>
          <w:color w:val="000000"/>
        </w:rPr>
        <w:t xml:space="preserve"> según los datos adelantados </w:t>
      </w:r>
      <w:r w:rsidR="004D5D85" w:rsidRPr="004622D1">
        <w:rPr>
          <w:color w:val="000000"/>
        </w:rPr>
        <w:t>por el INE</w:t>
      </w:r>
      <w:r w:rsidR="00A3665F">
        <w:rPr>
          <w:color w:val="000000"/>
        </w:rPr>
        <w:t>,</w:t>
      </w:r>
      <w:r w:rsidR="004D5D85" w:rsidRPr="004622D1">
        <w:rPr>
          <w:color w:val="000000"/>
        </w:rPr>
        <w:t xml:space="preserve"> ha tenido una variación interanual del 4,5% en noviembre, 7 décima</w:t>
      </w:r>
      <w:r w:rsidR="006A31B6" w:rsidRPr="004622D1">
        <w:rPr>
          <w:color w:val="000000"/>
        </w:rPr>
        <w:t>s</w:t>
      </w:r>
      <w:r w:rsidR="004D5D85" w:rsidRPr="004622D1">
        <w:rPr>
          <w:color w:val="000000"/>
        </w:rPr>
        <w:t xml:space="preserve"> menos que el mes anterior y la </w:t>
      </w:r>
      <w:r w:rsidR="00DD0ED5" w:rsidRPr="004622D1">
        <w:rPr>
          <w:color w:val="000000"/>
        </w:rPr>
        <w:t>más</w:t>
      </w:r>
      <w:r w:rsidR="004D5D85" w:rsidRPr="004622D1">
        <w:rPr>
          <w:color w:val="000000"/>
        </w:rPr>
        <w:t xml:space="preserve"> baja desde abril de 2022 (4,4%). Sin embargo</w:t>
      </w:r>
      <w:r w:rsidR="006A31B6" w:rsidRPr="004622D1">
        <w:rPr>
          <w:color w:val="000000"/>
        </w:rPr>
        <w:t>,</w:t>
      </w:r>
      <w:r w:rsidR="004D5D85" w:rsidRPr="004622D1">
        <w:rPr>
          <w:color w:val="000000"/>
        </w:rPr>
        <w:t xml:space="preserve"> ha sido superior en 9 décimas a la inflación subyacente de la zona euro</w:t>
      </w:r>
      <w:r w:rsidR="006A31B6" w:rsidRPr="004622D1">
        <w:rPr>
          <w:color w:val="000000"/>
        </w:rPr>
        <w:t xml:space="preserve"> (3,6%)</w:t>
      </w:r>
      <w:r w:rsidR="004D5D85" w:rsidRPr="004622D1">
        <w:rPr>
          <w:color w:val="000000"/>
        </w:rPr>
        <w:t xml:space="preserve">. Este diferencial en los precios con los países de la zona euro, nuestro principal mercado, unido a la situación de vulnerabilidad por al que están atravesando algunos países por los conflictos geopolíticos como Alemania, hacen que nuestras exportaciones se estén resintiendo. </w:t>
      </w:r>
    </w:p>
    <w:p w14:paraId="78BE5268" w14:textId="239797D3" w:rsidR="00171CAE" w:rsidRPr="006522B9" w:rsidRDefault="00ED398F" w:rsidP="006A31B6">
      <w:pPr>
        <w:jc w:val="both"/>
        <w:rPr>
          <w:color w:val="FF0000"/>
        </w:rPr>
      </w:pPr>
      <w:r w:rsidRPr="004622D1">
        <w:rPr>
          <w:color w:val="000000"/>
        </w:rPr>
        <w:t>N</w:t>
      </w:r>
      <w:r w:rsidR="004D5D85" w:rsidRPr="004622D1">
        <w:rPr>
          <w:color w:val="000000"/>
        </w:rPr>
        <w:t>o obsta</w:t>
      </w:r>
      <w:r w:rsidRPr="004622D1">
        <w:rPr>
          <w:color w:val="000000"/>
        </w:rPr>
        <w:t>n</w:t>
      </w:r>
      <w:r w:rsidR="004D5D85" w:rsidRPr="004622D1">
        <w:rPr>
          <w:color w:val="000000"/>
        </w:rPr>
        <w:t>te,</w:t>
      </w:r>
      <w:r w:rsidRPr="004622D1">
        <w:t xml:space="preserve"> l</w:t>
      </w:r>
      <w:r w:rsidRPr="004622D1">
        <w:rPr>
          <w:color w:val="000000"/>
        </w:rPr>
        <w:t xml:space="preserve">os malos augurios de recesión previstos para el último trimestre parece que se están alejando, </w:t>
      </w:r>
      <w:r w:rsidR="00871D50" w:rsidRPr="004622D1">
        <w:rPr>
          <w:color w:val="000000"/>
        </w:rPr>
        <w:t>vislumbrando</w:t>
      </w:r>
      <w:r w:rsidR="00A64DBC" w:rsidRPr="004622D1">
        <w:rPr>
          <w:color w:val="000000"/>
        </w:rPr>
        <w:t xml:space="preserve"> una ligera mejoría en la desaceleración, </w:t>
      </w:r>
      <w:r w:rsidRPr="004622D1">
        <w:rPr>
          <w:color w:val="000000"/>
        </w:rPr>
        <w:t xml:space="preserve">como consecuencia del empuje que está teniendo </w:t>
      </w:r>
      <w:r w:rsidR="004D5D85" w:rsidRPr="004622D1">
        <w:rPr>
          <w:color w:val="000000"/>
        </w:rPr>
        <w:t>la demanda interna</w:t>
      </w:r>
      <w:r w:rsidRPr="004622D1">
        <w:rPr>
          <w:color w:val="000000"/>
        </w:rPr>
        <w:t xml:space="preserve">, por </w:t>
      </w:r>
      <w:r w:rsidR="004D5D85" w:rsidRPr="004622D1">
        <w:rPr>
          <w:color w:val="000000"/>
        </w:rPr>
        <w:t xml:space="preserve">el incremento de la población activa </w:t>
      </w:r>
      <w:r w:rsidR="00A64DBC" w:rsidRPr="004622D1">
        <w:rPr>
          <w:color w:val="000000"/>
        </w:rPr>
        <w:t xml:space="preserve">con capacidad de consumo </w:t>
      </w:r>
      <w:r w:rsidR="004D5D85" w:rsidRPr="004622D1">
        <w:rPr>
          <w:color w:val="000000"/>
        </w:rPr>
        <w:t>y la contención de la inflación</w:t>
      </w:r>
      <w:r w:rsidRPr="004622D1">
        <w:rPr>
          <w:color w:val="000000"/>
        </w:rPr>
        <w:t xml:space="preserve">, </w:t>
      </w:r>
      <w:r w:rsidR="004D5D85" w:rsidRPr="004622D1">
        <w:rPr>
          <w:color w:val="000000"/>
        </w:rPr>
        <w:t xml:space="preserve">así como </w:t>
      </w:r>
      <w:r w:rsidR="00610757">
        <w:rPr>
          <w:color w:val="000000"/>
        </w:rPr>
        <w:t xml:space="preserve">por </w:t>
      </w:r>
      <w:r w:rsidR="00A64DBC" w:rsidRPr="004622D1">
        <w:rPr>
          <w:color w:val="000000"/>
        </w:rPr>
        <w:t xml:space="preserve">la prolongación de la temporada </w:t>
      </w:r>
      <w:r w:rsidR="004D5D85" w:rsidRPr="004622D1">
        <w:rPr>
          <w:color w:val="000000"/>
        </w:rPr>
        <w:t>turístic</w:t>
      </w:r>
      <w:r w:rsidR="00A64DBC" w:rsidRPr="004622D1">
        <w:rPr>
          <w:color w:val="000000"/>
        </w:rPr>
        <w:t>a</w:t>
      </w:r>
      <w:r w:rsidR="004D5D85" w:rsidRPr="004622D1">
        <w:rPr>
          <w:color w:val="000000"/>
        </w:rPr>
        <w:t xml:space="preserve">, cada vez </w:t>
      </w:r>
      <w:r w:rsidR="00610757" w:rsidRPr="004622D1">
        <w:rPr>
          <w:color w:val="000000"/>
        </w:rPr>
        <w:t>más</w:t>
      </w:r>
      <w:r w:rsidR="004D5D85" w:rsidRPr="004622D1">
        <w:rPr>
          <w:color w:val="000000"/>
        </w:rPr>
        <w:t xml:space="preserve"> desestacionalizad</w:t>
      </w:r>
      <w:r w:rsidR="00A64DBC" w:rsidRPr="004622D1">
        <w:rPr>
          <w:color w:val="000000"/>
        </w:rPr>
        <w:t>a</w:t>
      </w:r>
      <w:r w:rsidR="004D5D85" w:rsidRPr="004622D1">
        <w:rPr>
          <w:color w:val="000000"/>
        </w:rPr>
        <w:t xml:space="preserve">. Es por ello </w:t>
      </w:r>
      <w:proofErr w:type="gramStart"/>
      <w:r w:rsidR="004D5D85" w:rsidRPr="004622D1">
        <w:rPr>
          <w:color w:val="000000"/>
        </w:rPr>
        <w:t>que</w:t>
      </w:r>
      <w:proofErr w:type="gramEnd"/>
      <w:r w:rsidR="004D5D85" w:rsidRPr="004622D1">
        <w:rPr>
          <w:color w:val="000000"/>
        </w:rPr>
        <w:t xml:space="preserve"> revisamos al alza nuestra previsión de crecimiento </w:t>
      </w:r>
      <w:r w:rsidRPr="004622D1">
        <w:rPr>
          <w:color w:val="000000"/>
        </w:rPr>
        <w:t xml:space="preserve">de la economía </w:t>
      </w:r>
      <w:r w:rsidR="004D5D85" w:rsidRPr="004622D1">
        <w:rPr>
          <w:color w:val="000000"/>
        </w:rPr>
        <w:t xml:space="preserve">para 2023 en una décima, hasta el 2,4% y mantenemos el </w:t>
      </w:r>
      <w:r w:rsidRPr="004622D1">
        <w:rPr>
          <w:color w:val="000000"/>
        </w:rPr>
        <w:t>1,7% para 2024</w:t>
      </w:r>
      <w:r w:rsidR="00610757">
        <w:rPr>
          <w:color w:val="000000"/>
        </w:rPr>
        <w:t>,</w:t>
      </w:r>
      <w:r w:rsidRPr="004622D1">
        <w:rPr>
          <w:color w:val="000000"/>
        </w:rPr>
        <w:t xml:space="preserve"> mientras que </w:t>
      </w:r>
      <w:r w:rsidR="00A64DBC" w:rsidRPr="004622D1">
        <w:rPr>
          <w:color w:val="000000"/>
        </w:rPr>
        <w:t xml:space="preserve">estimamos que el </w:t>
      </w:r>
      <w:r w:rsidR="001836BD" w:rsidRPr="004622D1">
        <w:rPr>
          <w:color w:val="000000"/>
        </w:rPr>
        <w:t>IPC</w:t>
      </w:r>
      <w:r w:rsidR="00A64DBC" w:rsidRPr="004622D1">
        <w:rPr>
          <w:color w:val="000000"/>
        </w:rPr>
        <w:t xml:space="preserve"> medio de 2023 se situará en</w:t>
      </w:r>
      <w:r w:rsidR="006A31B6" w:rsidRPr="004622D1">
        <w:rPr>
          <w:color w:val="000000"/>
        </w:rPr>
        <w:t xml:space="preserve"> </w:t>
      </w:r>
      <w:r w:rsidR="006A31B6" w:rsidRPr="008869C4">
        <w:t>torno al</w:t>
      </w:r>
      <w:r w:rsidR="00A64DBC" w:rsidRPr="008869C4">
        <w:t xml:space="preserve"> 3,</w:t>
      </w:r>
      <w:r w:rsidR="006A31B6" w:rsidRPr="008869C4">
        <w:t>7</w:t>
      </w:r>
      <w:r w:rsidR="00A64DBC" w:rsidRPr="008869C4">
        <w:t>%</w:t>
      </w:r>
      <w:r w:rsidRPr="008869C4">
        <w:t xml:space="preserve">. </w:t>
      </w:r>
    </w:p>
    <w:p w14:paraId="3690D89F" w14:textId="319893F2" w:rsidR="00171CAE" w:rsidRPr="004622D1" w:rsidRDefault="001836BD" w:rsidP="001836BD">
      <w:pPr>
        <w:jc w:val="both"/>
        <w:rPr>
          <w:color w:val="000000"/>
        </w:rPr>
      </w:pPr>
      <w:r w:rsidRPr="004622D1">
        <w:rPr>
          <w:color w:val="000000"/>
        </w:rPr>
        <w:t xml:space="preserve">En 2024, </w:t>
      </w:r>
      <w:r w:rsidR="00171CAE" w:rsidRPr="004622D1">
        <w:rPr>
          <w:color w:val="000000"/>
        </w:rPr>
        <w:t xml:space="preserve">teniendo en cuenta que está previsto que se retiren las </w:t>
      </w:r>
      <w:r w:rsidRPr="004622D1">
        <w:rPr>
          <w:color w:val="000000"/>
        </w:rPr>
        <w:t xml:space="preserve">medidas </w:t>
      </w:r>
      <w:proofErr w:type="gramStart"/>
      <w:r w:rsidR="00610757" w:rsidRPr="004622D1">
        <w:rPr>
          <w:color w:val="000000"/>
        </w:rPr>
        <w:t>anti inflación</w:t>
      </w:r>
      <w:proofErr w:type="gramEnd"/>
      <w:r w:rsidR="00610757">
        <w:rPr>
          <w:color w:val="000000"/>
        </w:rPr>
        <w:t xml:space="preserve"> (</w:t>
      </w:r>
      <w:r w:rsidR="00171CAE" w:rsidRPr="004622D1">
        <w:rPr>
          <w:color w:val="000000"/>
        </w:rPr>
        <w:t>como el IVA de la electricidad y de determinados productos de alimentación, del transporte,…</w:t>
      </w:r>
      <w:r w:rsidR="00610757">
        <w:rPr>
          <w:color w:val="000000"/>
        </w:rPr>
        <w:t>)</w:t>
      </w:r>
      <w:r w:rsidR="00171CAE" w:rsidRPr="004622D1">
        <w:rPr>
          <w:color w:val="000000"/>
        </w:rPr>
        <w:t xml:space="preserve"> , y </w:t>
      </w:r>
      <w:r w:rsidR="004622D1" w:rsidRPr="004622D1">
        <w:rPr>
          <w:color w:val="000000"/>
        </w:rPr>
        <w:t>sin tener certeza del</w:t>
      </w:r>
      <w:r w:rsidR="00171CAE" w:rsidRPr="004622D1">
        <w:rPr>
          <w:color w:val="000000"/>
        </w:rPr>
        <w:t xml:space="preserve"> momento se va a producir esta retirada</w:t>
      </w:r>
      <w:r w:rsidR="004622D1" w:rsidRPr="004622D1">
        <w:rPr>
          <w:color w:val="000000"/>
        </w:rPr>
        <w:t xml:space="preserve"> de la medidas</w:t>
      </w:r>
      <w:r w:rsidR="00171CAE" w:rsidRPr="004622D1">
        <w:rPr>
          <w:color w:val="000000"/>
        </w:rPr>
        <w:t>, es difícil estimar el impacto que estos van a  tener en los precios.</w:t>
      </w:r>
    </w:p>
    <w:p w14:paraId="6D7662E8" w14:textId="31224363" w:rsidR="00A64DBC" w:rsidRPr="008869C4" w:rsidRDefault="00A64DBC" w:rsidP="00ED398F">
      <w:pPr>
        <w:jc w:val="both"/>
      </w:pPr>
      <w:r w:rsidRPr="004622D1">
        <w:rPr>
          <w:color w:val="000000"/>
        </w:rPr>
        <w:t xml:space="preserve">Ante esta contención de la inflación, los mercados dan por finalizado en endurecimiento de la política monetaria del </w:t>
      </w:r>
      <w:r w:rsidR="00E852E1" w:rsidRPr="004622D1">
        <w:rPr>
          <w:color w:val="000000"/>
        </w:rPr>
        <w:t>B</w:t>
      </w:r>
      <w:r w:rsidRPr="004622D1">
        <w:rPr>
          <w:color w:val="000000"/>
        </w:rPr>
        <w:t xml:space="preserve">anco </w:t>
      </w:r>
      <w:r w:rsidR="00E852E1" w:rsidRPr="004622D1">
        <w:rPr>
          <w:color w:val="000000"/>
        </w:rPr>
        <w:t>C</w:t>
      </w:r>
      <w:r w:rsidRPr="004622D1">
        <w:rPr>
          <w:color w:val="000000"/>
        </w:rPr>
        <w:t>entral Europeo</w:t>
      </w:r>
      <w:r w:rsidR="004622D1" w:rsidRPr="004622D1">
        <w:rPr>
          <w:color w:val="000000"/>
        </w:rPr>
        <w:t>.</w:t>
      </w:r>
      <w:r w:rsidRPr="004622D1">
        <w:rPr>
          <w:color w:val="000000"/>
        </w:rPr>
        <w:t xml:space="preserve"> Así se refleja en el Euribor a 12 meses que se ha situado en el 4% en noviembre. El importe de las hipotecas ha descendido en los últimos meses, por una </w:t>
      </w:r>
      <w:r w:rsidR="00610757" w:rsidRPr="004622D1">
        <w:rPr>
          <w:color w:val="000000"/>
        </w:rPr>
        <w:t>parte,</w:t>
      </w:r>
      <w:r w:rsidRPr="004622D1">
        <w:rPr>
          <w:color w:val="000000"/>
        </w:rPr>
        <w:t xml:space="preserve"> por la cancelación parcial o total de las hipotecas ante las subidas de los tipos de interés </w:t>
      </w:r>
      <w:r w:rsidRPr="008869C4">
        <w:t>y</w:t>
      </w:r>
      <w:r w:rsidR="006522B9" w:rsidRPr="008869C4">
        <w:t>,</w:t>
      </w:r>
      <w:r w:rsidRPr="008869C4">
        <w:t xml:space="preserve"> por otra, </w:t>
      </w:r>
      <w:r w:rsidR="008869C4" w:rsidRPr="008869C4">
        <w:t xml:space="preserve">por </w:t>
      </w:r>
      <w:r w:rsidRPr="008869C4">
        <w:t xml:space="preserve">el incremento de operaciones de </w:t>
      </w:r>
      <w:r w:rsidR="008869C4" w:rsidRPr="008869C4">
        <w:t>compraventa</w:t>
      </w:r>
      <w:r w:rsidRPr="008869C4">
        <w:t xml:space="preserve"> en efectivo sin hipoteca.  </w:t>
      </w:r>
    </w:p>
    <w:p w14:paraId="285C5966" w14:textId="07B7C1D8" w:rsidR="00A64DBC" w:rsidRPr="003B3B94" w:rsidRDefault="00A64DBC" w:rsidP="003B3B94">
      <w:pPr>
        <w:jc w:val="both"/>
      </w:pPr>
      <w:r w:rsidRPr="003B3B94">
        <w:t>El empleo está da</w:t>
      </w:r>
      <w:r w:rsidR="006522B9">
        <w:t>n</w:t>
      </w:r>
      <w:r w:rsidRPr="003B3B94">
        <w:t xml:space="preserve">do </w:t>
      </w:r>
      <w:r w:rsidR="006522B9">
        <w:t>señales</w:t>
      </w:r>
      <w:r w:rsidRPr="003B3B94">
        <w:t xml:space="preserve"> de resistencia. Así</w:t>
      </w:r>
      <w:r w:rsidR="006522B9">
        <w:t>,</w:t>
      </w:r>
      <w:r w:rsidRPr="003B3B94">
        <w:t xml:space="preserve"> en noviembre </w:t>
      </w:r>
      <w:r w:rsidR="00166DCF" w:rsidRPr="003B3B94">
        <w:t xml:space="preserve">el paro se ha reducido en 24.573 personas, tras el incremento del mes anterior y se ha situado en 2.734.831 </w:t>
      </w:r>
      <w:r w:rsidR="006522B9">
        <w:t>desempleados,</w:t>
      </w:r>
      <w:r w:rsidR="00166DCF" w:rsidRPr="003B3B94">
        <w:t xml:space="preserve"> reduciéndose en lo que va de año en 102.822 personas. P</w:t>
      </w:r>
      <w:r w:rsidR="003B3B94" w:rsidRPr="003B3B94">
        <w:t>o</w:t>
      </w:r>
      <w:r w:rsidR="00166DCF" w:rsidRPr="003B3B94">
        <w:t xml:space="preserve">r contra, </w:t>
      </w:r>
      <w:r w:rsidR="003B3B94" w:rsidRPr="003B3B94">
        <w:t xml:space="preserve">el número de afiliados se </w:t>
      </w:r>
      <w:r w:rsidR="00166DCF" w:rsidRPr="003B3B94">
        <w:t>ha reducido en 11.583</w:t>
      </w:r>
      <w:r w:rsidR="003B3B94" w:rsidRPr="003B3B94">
        <w:t xml:space="preserve"> personas, </w:t>
      </w:r>
      <w:r w:rsidR="00166DCF" w:rsidRPr="003B3B94">
        <w:t>ascendiendo a</w:t>
      </w:r>
      <w:r w:rsidR="003B3B94" w:rsidRPr="003B3B94">
        <w:t xml:space="preserve"> 20.806.074</w:t>
      </w:r>
      <w:r w:rsidR="006522B9">
        <w:t xml:space="preserve"> </w:t>
      </w:r>
      <w:r w:rsidR="006522B9" w:rsidRPr="003B3B94">
        <w:t>afiliados</w:t>
      </w:r>
      <w:r w:rsidR="003B3B94" w:rsidRPr="003B3B94">
        <w:t xml:space="preserve"> a 30 de noviembre, la cifra m</w:t>
      </w:r>
      <w:r w:rsidR="006522B9">
        <w:t>á</w:t>
      </w:r>
      <w:r w:rsidR="003B3B94" w:rsidRPr="003B3B94">
        <w:t>s alta de la serie histórica</w:t>
      </w:r>
      <w:r w:rsidR="003B3B94">
        <w:t>.</w:t>
      </w:r>
      <w:r w:rsidR="003B3B94" w:rsidRPr="003B3B94">
        <w:t xml:space="preserve">  </w:t>
      </w:r>
    </w:p>
    <w:p w14:paraId="2ABFA8EE" w14:textId="101CF48B" w:rsidR="00CC76EA" w:rsidRPr="004622D1" w:rsidRDefault="00871D50" w:rsidP="00ED398F">
      <w:pPr>
        <w:jc w:val="both"/>
        <w:rPr>
          <w:color w:val="000000"/>
        </w:rPr>
      </w:pPr>
      <w:r w:rsidRPr="004622D1">
        <w:rPr>
          <w:color w:val="000000"/>
        </w:rPr>
        <w:t xml:space="preserve">En cuanto a la deuda pública, en septiembre </w:t>
      </w:r>
      <w:r w:rsidR="00CC76EA" w:rsidRPr="004622D1">
        <w:rPr>
          <w:color w:val="000000"/>
        </w:rPr>
        <w:t xml:space="preserve">ha ascendido a </w:t>
      </w:r>
      <w:r w:rsidRPr="004622D1">
        <w:rPr>
          <w:color w:val="000000"/>
        </w:rPr>
        <w:t xml:space="preserve">1.578 miles de millones (mm) de euros, </w:t>
      </w:r>
      <w:r w:rsidR="00CC76EA" w:rsidRPr="004622D1">
        <w:rPr>
          <w:color w:val="000000"/>
        </w:rPr>
        <w:t xml:space="preserve">15 mm </w:t>
      </w:r>
      <w:r w:rsidR="006522B9" w:rsidRPr="004622D1">
        <w:rPr>
          <w:color w:val="000000"/>
        </w:rPr>
        <w:t>más</w:t>
      </w:r>
      <w:r w:rsidR="00CC76EA" w:rsidRPr="004622D1">
        <w:rPr>
          <w:color w:val="000000"/>
        </w:rPr>
        <w:t xml:space="preserve"> que el mes anterior y 75,5</w:t>
      </w:r>
      <w:r w:rsidR="00171CAE" w:rsidRPr="004622D1">
        <w:rPr>
          <w:color w:val="000000"/>
        </w:rPr>
        <w:t xml:space="preserve"> mm </w:t>
      </w:r>
      <w:r w:rsidR="006522B9" w:rsidRPr="004622D1">
        <w:rPr>
          <w:color w:val="000000"/>
        </w:rPr>
        <w:t>más</w:t>
      </w:r>
      <w:r w:rsidR="00CC76EA" w:rsidRPr="004622D1">
        <w:rPr>
          <w:color w:val="000000"/>
        </w:rPr>
        <w:t xml:space="preserve"> en lo que llevamos de año, </w:t>
      </w:r>
      <w:r w:rsidRPr="004622D1">
        <w:rPr>
          <w:color w:val="000000"/>
        </w:rPr>
        <w:t>con una tasa de crecimiento del 4,9% en términos interanuales</w:t>
      </w:r>
      <w:r w:rsidR="00CC76EA" w:rsidRPr="004622D1">
        <w:rPr>
          <w:color w:val="000000"/>
        </w:rPr>
        <w:t xml:space="preserve">. </w:t>
      </w:r>
      <w:r w:rsidR="00171CAE" w:rsidRPr="004622D1">
        <w:rPr>
          <w:color w:val="000000"/>
        </w:rPr>
        <w:t>Esta cifra s</w:t>
      </w:r>
      <w:r w:rsidR="00CC76EA" w:rsidRPr="004622D1">
        <w:rPr>
          <w:color w:val="000000"/>
        </w:rPr>
        <w:t xml:space="preserve">upone el </w:t>
      </w:r>
      <w:r w:rsidRPr="004622D1">
        <w:rPr>
          <w:color w:val="000000"/>
        </w:rPr>
        <w:t>109,9</w:t>
      </w:r>
      <w:r w:rsidR="00CC76EA" w:rsidRPr="004622D1">
        <w:rPr>
          <w:color w:val="000000"/>
        </w:rPr>
        <w:t xml:space="preserve">% del PIB. Nuestra previsión es que a final de año se sitúe en el 108,6%, 9 décimas menos que en la previsión anterior, motivado fundamentalmente por el incremento previsto del PIB a fin de año. </w:t>
      </w:r>
    </w:p>
    <w:p w14:paraId="6A89D6F0" w14:textId="00566AAA" w:rsidR="00CC76EA" w:rsidRPr="004622D1" w:rsidRDefault="00CC76EA" w:rsidP="00ED398F">
      <w:pPr>
        <w:jc w:val="both"/>
        <w:rPr>
          <w:color w:val="FF0000"/>
        </w:rPr>
      </w:pPr>
      <w:r w:rsidRPr="004622D1">
        <w:rPr>
          <w:color w:val="000000"/>
        </w:rPr>
        <w:t>En cuanto al déficit</w:t>
      </w:r>
      <w:r w:rsidR="001836BD" w:rsidRPr="004622D1">
        <w:rPr>
          <w:color w:val="000000"/>
        </w:rPr>
        <w:t xml:space="preserve"> público, se espera que se vaya moderando, ayudado por el incremento de la recaudación y por la </w:t>
      </w:r>
      <w:r w:rsidR="00CA582D" w:rsidRPr="004622D1">
        <w:rPr>
          <w:color w:val="000000"/>
        </w:rPr>
        <w:t>contención</w:t>
      </w:r>
      <w:r w:rsidR="001836BD" w:rsidRPr="004622D1">
        <w:rPr>
          <w:color w:val="000000"/>
        </w:rPr>
        <w:t xml:space="preserve"> del gasto. Estimados que a final de</w:t>
      </w:r>
      <w:r w:rsidR="00CA582D" w:rsidRPr="004622D1">
        <w:rPr>
          <w:color w:val="000000"/>
        </w:rPr>
        <w:t xml:space="preserve"> </w:t>
      </w:r>
      <w:r w:rsidR="001836BD" w:rsidRPr="004622D1">
        <w:rPr>
          <w:color w:val="000000"/>
        </w:rPr>
        <w:t xml:space="preserve">año se </w:t>
      </w:r>
      <w:r w:rsidR="00CA582D" w:rsidRPr="004622D1">
        <w:rPr>
          <w:color w:val="000000"/>
        </w:rPr>
        <w:t>sitúe</w:t>
      </w:r>
      <w:r w:rsidR="001836BD" w:rsidRPr="004622D1">
        <w:rPr>
          <w:color w:val="000000"/>
        </w:rPr>
        <w:t xml:space="preserve"> en el 3,8% </w:t>
      </w:r>
    </w:p>
    <w:p w14:paraId="33ED5524" w14:textId="235C7779" w:rsidR="00CA582D" w:rsidRPr="004622D1" w:rsidRDefault="00CA582D" w:rsidP="00CA582D">
      <w:pPr>
        <w:jc w:val="both"/>
        <w:rPr>
          <w:color w:val="000000"/>
        </w:rPr>
      </w:pPr>
      <w:r w:rsidRPr="004622D1">
        <w:rPr>
          <w:color w:val="000000"/>
        </w:rPr>
        <w:t>La incertidumbre por los conflictos geopolíticos, tanto en Europa por la guerra en Ucrania como en Oriente  Próximo, hace que las perspectivas para 2024 sean</w:t>
      </w:r>
      <w:r w:rsidR="00A14ECB" w:rsidRPr="004622D1">
        <w:rPr>
          <w:color w:val="000000"/>
        </w:rPr>
        <w:t xml:space="preserve"> inciertas </w:t>
      </w:r>
      <w:r w:rsidRPr="004622D1">
        <w:rPr>
          <w:color w:val="000000"/>
        </w:rPr>
        <w:t>dado el frágil equilibrio en  el que se mantienen las principales economías, muy abiertas y por tanto muy susceptibles ante cualquier situación adversa.</w:t>
      </w:r>
    </w:p>
    <w:p w14:paraId="134ED3A4" w14:textId="77777777" w:rsidR="00BD483E" w:rsidRPr="004622D1" w:rsidRDefault="00BD483E" w:rsidP="00BD483E">
      <w:pPr>
        <w:shd w:val="clear" w:color="auto" w:fill="FFFFFF"/>
        <w:spacing w:before="240" w:after="0"/>
        <w:jc w:val="both"/>
      </w:pPr>
    </w:p>
    <w:p w14:paraId="5219E9EF" w14:textId="4E178D3E" w:rsidR="00BD483E" w:rsidRPr="004622D1" w:rsidRDefault="00BD483E" w:rsidP="00BD483E">
      <w:pPr>
        <w:suppressAutoHyphens w:val="0"/>
        <w:autoSpaceDN/>
        <w:spacing w:after="0"/>
        <w:mirrorIndents/>
        <w:jc w:val="both"/>
        <w:textAlignment w:val="auto"/>
        <w:rPr>
          <w:rFonts w:eastAsia="Times New Roman"/>
        </w:rPr>
      </w:pPr>
      <w:r w:rsidRPr="004622D1">
        <w:rPr>
          <w:rFonts w:eastAsia="Times New Roman"/>
          <w:b/>
          <w:u w:val="single"/>
        </w:rPr>
        <w:t>Previsiones de la Comisión Financiera del Consejo General de Economistas para 202</w:t>
      </w:r>
      <w:r w:rsidR="00171CAE" w:rsidRPr="004622D1">
        <w:rPr>
          <w:rFonts w:eastAsia="Times New Roman"/>
          <w:b/>
          <w:u w:val="single"/>
        </w:rPr>
        <w:t>3</w:t>
      </w:r>
      <w:r w:rsidRPr="004622D1">
        <w:rPr>
          <w:rFonts w:eastAsia="Times New Roman"/>
        </w:rPr>
        <w:t>:</w:t>
      </w:r>
    </w:p>
    <w:p w14:paraId="5A4127EB" w14:textId="61CFBBBB" w:rsidR="00171CAE" w:rsidRDefault="004622D1" w:rsidP="004622D1">
      <w:pPr>
        <w:suppressAutoHyphens w:val="0"/>
        <w:autoSpaceDN/>
        <w:spacing w:after="0"/>
        <w:mirrorIndents/>
        <w:jc w:val="center"/>
        <w:textAlignment w:val="auto"/>
        <w:rPr>
          <w:rFonts w:eastAsia="Times New Roman"/>
          <w:sz w:val="21"/>
          <w:szCs w:val="21"/>
        </w:rPr>
      </w:pPr>
      <w:r w:rsidRPr="004622D1">
        <w:rPr>
          <w:noProof/>
        </w:rPr>
        <w:lastRenderedPageBreak/>
        <w:drawing>
          <wp:inline distT="0" distB="0" distL="0" distR="0" wp14:anchorId="258FF454" wp14:editId="18D295F6">
            <wp:extent cx="3282950" cy="1911350"/>
            <wp:effectExtent l="0" t="0" r="0" b="0"/>
            <wp:docPr id="185452019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2950" cy="1911350"/>
                    </a:xfrm>
                    <a:prstGeom prst="rect">
                      <a:avLst/>
                    </a:prstGeom>
                    <a:noFill/>
                    <a:ln>
                      <a:noFill/>
                    </a:ln>
                  </pic:spPr>
                </pic:pic>
              </a:graphicData>
            </a:graphic>
          </wp:inline>
        </w:drawing>
      </w:r>
    </w:p>
    <w:p w14:paraId="306AD99D" w14:textId="7961EC11" w:rsidR="00171CAE" w:rsidRDefault="00171CAE" w:rsidP="00230273">
      <w:pPr>
        <w:suppressAutoHyphens w:val="0"/>
        <w:autoSpaceDN/>
        <w:spacing w:after="0"/>
        <w:mirrorIndents/>
        <w:jc w:val="center"/>
        <w:textAlignment w:val="auto"/>
        <w:rPr>
          <w:rFonts w:eastAsia="Times New Roman"/>
          <w:sz w:val="21"/>
          <w:szCs w:val="21"/>
        </w:rPr>
      </w:pPr>
    </w:p>
    <w:p w14:paraId="2ABEA40C" w14:textId="77777777" w:rsidR="00171CAE" w:rsidRDefault="00171CAE" w:rsidP="00BD483E">
      <w:pPr>
        <w:suppressAutoHyphens w:val="0"/>
        <w:autoSpaceDN/>
        <w:spacing w:after="0"/>
        <w:mirrorIndents/>
        <w:jc w:val="both"/>
        <w:textAlignment w:val="auto"/>
        <w:rPr>
          <w:rFonts w:eastAsia="Times New Roman"/>
          <w:sz w:val="21"/>
          <w:szCs w:val="21"/>
        </w:rPr>
      </w:pPr>
    </w:p>
    <w:p w14:paraId="473047DF" w14:textId="272F8249" w:rsidR="00BD483E" w:rsidRPr="004226B8" w:rsidRDefault="00230273" w:rsidP="00171CAE">
      <w:pPr>
        <w:shd w:val="clear" w:color="auto" w:fill="FFFFFF"/>
        <w:spacing w:before="240" w:after="0"/>
        <w:jc w:val="center"/>
      </w:pPr>
      <w:r>
        <w:rPr>
          <w:noProof/>
        </w:rPr>
        <w:t>p</w:t>
      </w:r>
    </w:p>
    <w:p w14:paraId="148D2E5C" w14:textId="77777777" w:rsidR="0072103D" w:rsidRDefault="0072103D" w:rsidP="00BD483E">
      <w:pPr>
        <w:spacing w:after="0"/>
      </w:pPr>
    </w:p>
    <w:p w14:paraId="0738487B" w14:textId="77777777" w:rsidR="00BD483E" w:rsidRPr="00BF17EC" w:rsidRDefault="00BD483E" w:rsidP="00BD483E">
      <w:pPr>
        <w:spacing w:after="0"/>
      </w:pPr>
      <w:r w:rsidRPr="00BF17EC">
        <w:rPr>
          <w:rFonts w:cs="Calibri"/>
          <w:b/>
        </w:rPr>
        <w:t xml:space="preserve">Para más información: </w:t>
      </w:r>
      <w:r w:rsidRPr="00BF17EC">
        <w:rPr>
          <w:rFonts w:cs="Calibri"/>
        </w:rPr>
        <w:t xml:space="preserve">Consejo General de Economistas de España. Prensa: Fernando Yraola. Tfno.: 696 12 77 15; </w:t>
      </w:r>
      <w:hyperlink r:id="rId10" w:history="1">
        <w:r w:rsidRPr="00BF17EC">
          <w:rPr>
            <w:rFonts w:cs="Calibri"/>
            <w:color w:val="0563C1"/>
            <w:u w:val="single"/>
          </w:rPr>
          <w:t>yraola@yraola.com</w:t>
        </w:r>
      </w:hyperlink>
    </w:p>
    <w:p w14:paraId="15414DFC" w14:textId="77777777" w:rsidR="00BD483E" w:rsidRDefault="00BD483E" w:rsidP="00BD483E">
      <w:pPr>
        <w:spacing w:after="0"/>
      </w:pPr>
    </w:p>
    <w:p w14:paraId="055971FA" w14:textId="77777777" w:rsidR="00BD483E" w:rsidRPr="0072103D" w:rsidRDefault="00BD483E" w:rsidP="00BD483E">
      <w:pPr>
        <w:pStyle w:val="Sinespaciado"/>
        <w:jc w:val="both"/>
        <w:rPr>
          <w:sz w:val="18"/>
          <w:szCs w:val="18"/>
        </w:rPr>
      </w:pPr>
      <w:r w:rsidRPr="0072103D">
        <w:rPr>
          <w:rFonts w:cs="Calibri"/>
          <w:sz w:val="18"/>
          <w:szCs w:val="18"/>
        </w:rPr>
        <w:t xml:space="preserve">El </w:t>
      </w:r>
      <w:r w:rsidRPr="0072103D">
        <w:rPr>
          <w:rFonts w:cs="Calibri"/>
          <w:b/>
          <w:color w:val="0563C1"/>
          <w:sz w:val="18"/>
          <w:szCs w:val="18"/>
          <w:u w:val="single"/>
        </w:rPr>
        <w:t>Observatorio Financiero del Consejo General de Economistas</w:t>
      </w:r>
      <w:r w:rsidRPr="0072103D">
        <w:rPr>
          <w:rFonts w:cs="Calibri"/>
          <w:sz w:val="18"/>
          <w:szCs w:val="18"/>
        </w:rPr>
        <w:t xml:space="preserve"> elabora –además de las </w:t>
      </w:r>
      <w:r w:rsidRPr="0072103D">
        <w:rPr>
          <w:rFonts w:cs="Calibri"/>
          <w:b/>
          <w:sz w:val="18"/>
          <w:szCs w:val="18"/>
        </w:rPr>
        <w:t>previsiones mensuales</w:t>
      </w:r>
      <w:r w:rsidRPr="0072103D">
        <w:rPr>
          <w:rFonts w:cs="Calibri"/>
          <w:sz w:val="18"/>
          <w:szCs w:val="18"/>
        </w:rPr>
        <w:t xml:space="preserve"> sobre el PIB, la inflación y la tasa de desempleo– los </w:t>
      </w:r>
      <w:r w:rsidRPr="0072103D">
        <w:rPr>
          <w:rFonts w:cs="Calibri"/>
          <w:b/>
          <w:sz w:val="18"/>
          <w:szCs w:val="18"/>
        </w:rPr>
        <w:t>informes cuatrimestrales</w:t>
      </w:r>
      <w:r w:rsidRPr="0072103D">
        <w:rPr>
          <w:rFonts w:cs="Calibri"/>
          <w:sz w:val="18"/>
          <w:szCs w:val="18"/>
        </w:rPr>
        <w:t xml:space="preserve"> con el análisis de la situación financiera y de todos los parámetros que le afectan, así como de la </w:t>
      </w:r>
      <w:r w:rsidRPr="0072103D">
        <w:rPr>
          <w:rFonts w:cs="Calibri"/>
          <w:b/>
          <w:sz w:val="18"/>
          <w:szCs w:val="18"/>
        </w:rPr>
        <w:t>información diaria</w:t>
      </w:r>
      <w:r w:rsidRPr="0072103D">
        <w:rPr>
          <w:rFonts w:cs="Calibri"/>
          <w:sz w:val="18"/>
          <w:szCs w:val="18"/>
        </w:rPr>
        <w:t xml:space="preserve"> que se puede seguir en la web </w:t>
      </w:r>
      <w:r w:rsidRPr="0072103D">
        <w:rPr>
          <w:rFonts w:cs="Calibri"/>
          <w:b/>
          <w:sz w:val="18"/>
          <w:szCs w:val="18"/>
        </w:rPr>
        <w:t>(</w:t>
      </w:r>
      <w:hyperlink r:id="rId11" w:history="1">
        <w:r w:rsidRPr="0072103D">
          <w:rPr>
            <w:rStyle w:val="Hipervnculo"/>
            <w:rFonts w:cs="Calibri"/>
            <w:b/>
            <w:sz w:val="18"/>
            <w:szCs w:val="18"/>
          </w:rPr>
          <w:t>http://www.observatorioeconomico.es/index.php</w:t>
        </w:r>
      </w:hyperlink>
      <w:r w:rsidRPr="0072103D">
        <w:rPr>
          <w:rFonts w:cs="Calibri"/>
          <w:sz w:val="18"/>
          <w:szCs w:val="18"/>
        </w:rPr>
        <w:t>), y tiene como fin ofrecer –</w:t>
      </w:r>
      <w:bookmarkStart w:id="2" w:name="_Hlk517974585"/>
      <w:r w:rsidRPr="0072103D">
        <w:rPr>
          <w:rFonts w:cs="Calibri"/>
          <w:sz w:val="18"/>
          <w:szCs w:val="18"/>
        </w:rPr>
        <w:t>de manera objetiva e independiente</w:t>
      </w:r>
      <w:bookmarkEnd w:id="2"/>
      <w:r w:rsidRPr="0072103D">
        <w:rPr>
          <w:rFonts w:cs="Calibri"/>
          <w:sz w:val="18"/>
          <w:szCs w:val="18"/>
        </w:rPr>
        <w:t xml:space="preserve">– </w:t>
      </w:r>
      <w:r w:rsidRPr="0072103D">
        <w:rPr>
          <w:rFonts w:cs="Calibri"/>
          <w:color w:val="000000"/>
          <w:sz w:val="18"/>
          <w:szCs w:val="18"/>
        </w:rPr>
        <w:t xml:space="preserve">información acerca del entorno financiero, con la evolución de sus principales parámetros: indicadores económicos, </w:t>
      </w:r>
      <w:r w:rsidRPr="0072103D">
        <w:rPr>
          <w:rFonts w:cs="Calibri"/>
          <w:sz w:val="18"/>
          <w:szCs w:val="18"/>
        </w:rPr>
        <w:t>política monetaria, estado del crédito, cuentas financieras, tipos de interés y de cambio, índices bursátiles, etc.</w:t>
      </w:r>
    </w:p>
    <w:p w14:paraId="5376247D" w14:textId="77777777" w:rsidR="00BD483E" w:rsidRPr="0072103D" w:rsidRDefault="00BD483E" w:rsidP="00BD483E">
      <w:pPr>
        <w:pStyle w:val="Sinespaciado"/>
        <w:jc w:val="both"/>
        <w:rPr>
          <w:rFonts w:cs="Calibri"/>
          <w:sz w:val="18"/>
          <w:szCs w:val="18"/>
        </w:rPr>
      </w:pPr>
    </w:p>
    <w:p w14:paraId="7662B0BD" w14:textId="77777777" w:rsidR="00BD483E" w:rsidRPr="0072103D" w:rsidRDefault="00BD483E" w:rsidP="00BD483E">
      <w:pPr>
        <w:pStyle w:val="Sinespaciado"/>
        <w:jc w:val="both"/>
        <w:rPr>
          <w:rFonts w:cs="Calibri"/>
          <w:b/>
          <w:sz w:val="18"/>
          <w:szCs w:val="18"/>
        </w:rPr>
      </w:pPr>
      <w:r w:rsidRPr="0072103D">
        <w:rPr>
          <w:rFonts w:cs="Calibri"/>
          <w:b/>
          <w:sz w:val="18"/>
          <w:szCs w:val="18"/>
        </w:rPr>
        <w:t xml:space="preserve">Economistas Asesores Financieros (EAF-CGE). </w:t>
      </w:r>
      <w:r w:rsidRPr="0072103D">
        <w:rPr>
          <w:rFonts w:cs="Calibri"/>
          <w:sz w:val="18"/>
          <w:szCs w:val="18"/>
        </w:rPr>
        <w:t xml:space="preserve">El Consejo General de Economistas creó EAF en 2008, para coordinar la actividad de los economistas en el ámbito del ejercicio profesional del Asesoramiento Financiero en materia de inversión tras la transposición de la Directiva </w:t>
      </w:r>
      <w:proofErr w:type="spellStart"/>
      <w:r w:rsidRPr="0072103D">
        <w:rPr>
          <w:rFonts w:cs="Calibri"/>
          <w:sz w:val="18"/>
          <w:szCs w:val="18"/>
        </w:rPr>
        <w:t>MiFID</w:t>
      </w:r>
      <w:proofErr w:type="spellEnd"/>
      <w:r w:rsidRPr="0072103D">
        <w:rPr>
          <w:rFonts w:cs="Calibri"/>
          <w:sz w:val="18"/>
          <w:szCs w:val="18"/>
        </w:rPr>
        <w:t xml:space="preserve"> a la normativa española.</w:t>
      </w:r>
      <w:r w:rsidR="0072103D">
        <w:rPr>
          <w:rFonts w:cs="Calibri"/>
          <w:b/>
          <w:sz w:val="18"/>
          <w:szCs w:val="18"/>
        </w:rPr>
        <w:t xml:space="preserve"> </w:t>
      </w:r>
      <w:r w:rsidRPr="0072103D">
        <w:rPr>
          <w:rFonts w:cs="Calibri"/>
          <w:b/>
          <w:sz w:val="18"/>
          <w:szCs w:val="18"/>
        </w:rPr>
        <w:t>En la actualidad, EAF-CGE es la entidad más representativa del sector y está integrado por 118 EAF, lo que supone el 82% de las 140 Empresas de Asesoramiento Financiero inscritas en la CNMV.</w:t>
      </w:r>
    </w:p>
    <w:p w14:paraId="432340FD" w14:textId="77777777" w:rsidR="00BD483E" w:rsidRPr="0072103D" w:rsidRDefault="00BD483E" w:rsidP="00BD483E">
      <w:pPr>
        <w:pStyle w:val="Sinespaciado"/>
        <w:jc w:val="both"/>
        <w:rPr>
          <w:rFonts w:cs="Calibri"/>
          <w:b/>
          <w:sz w:val="18"/>
          <w:szCs w:val="18"/>
        </w:rPr>
      </w:pPr>
    </w:p>
    <w:sectPr w:rsidR="00BD483E" w:rsidRPr="0072103D" w:rsidSect="005D3D4B">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D3A9" w14:textId="77777777" w:rsidR="00A01ACE" w:rsidRDefault="00A01ACE">
      <w:pPr>
        <w:spacing w:after="0"/>
      </w:pPr>
      <w:r>
        <w:separator/>
      </w:r>
    </w:p>
  </w:endnote>
  <w:endnote w:type="continuationSeparator" w:id="0">
    <w:p w14:paraId="53F1E712" w14:textId="77777777" w:rsidR="00A01ACE" w:rsidRDefault="00A01A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0448" w14:textId="77777777" w:rsidR="00A01ACE" w:rsidRDefault="00A01ACE">
      <w:pPr>
        <w:spacing w:after="0"/>
      </w:pPr>
      <w:r>
        <w:rPr>
          <w:color w:val="000000"/>
        </w:rPr>
        <w:separator/>
      </w:r>
    </w:p>
  </w:footnote>
  <w:footnote w:type="continuationSeparator" w:id="0">
    <w:p w14:paraId="2CB3EC50" w14:textId="77777777" w:rsidR="00A01ACE" w:rsidRDefault="00A01A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448F"/>
    <w:multiLevelType w:val="hybridMultilevel"/>
    <w:tmpl w:val="D1344430"/>
    <w:lvl w:ilvl="0" w:tplc="6922BCA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E01C6E"/>
    <w:multiLevelType w:val="hybridMultilevel"/>
    <w:tmpl w:val="D99483CC"/>
    <w:lvl w:ilvl="0" w:tplc="AE662CE2">
      <w:start w:val="1"/>
      <w:numFmt w:val="bullet"/>
      <w:lvlText w:val="•"/>
      <w:lvlJc w:val="left"/>
      <w:pPr>
        <w:tabs>
          <w:tab w:val="num" w:pos="720"/>
        </w:tabs>
        <w:ind w:left="720" w:hanging="360"/>
      </w:pPr>
      <w:rPr>
        <w:rFonts w:ascii="Arial" w:hAnsi="Arial" w:hint="default"/>
      </w:rPr>
    </w:lvl>
    <w:lvl w:ilvl="1" w:tplc="351A9858" w:tentative="1">
      <w:start w:val="1"/>
      <w:numFmt w:val="bullet"/>
      <w:lvlText w:val="•"/>
      <w:lvlJc w:val="left"/>
      <w:pPr>
        <w:tabs>
          <w:tab w:val="num" w:pos="1440"/>
        </w:tabs>
        <w:ind w:left="1440" w:hanging="360"/>
      </w:pPr>
      <w:rPr>
        <w:rFonts w:ascii="Arial" w:hAnsi="Arial" w:hint="default"/>
      </w:rPr>
    </w:lvl>
    <w:lvl w:ilvl="2" w:tplc="08D881C4" w:tentative="1">
      <w:start w:val="1"/>
      <w:numFmt w:val="bullet"/>
      <w:lvlText w:val="•"/>
      <w:lvlJc w:val="left"/>
      <w:pPr>
        <w:tabs>
          <w:tab w:val="num" w:pos="2160"/>
        </w:tabs>
        <w:ind w:left="2160" w:hanging="360"/>
      </w:pPr>
      <w:rPr>
        <w:rFonts w:ascii="Arial" w:hAnsi="Arial" w:hint="default"/>
      </w:rPr>
    </w:lvl>
    <w:lvl w:ilvl="3" w:tplc="C43A835A" w:tentative="1">
      <w:start w:val="1"/>
      <w:numFmt w:val="bullet"/>
      <w:lvlText w:val="•"/>
      <w:lvlJc w:val="left"/>
      <w:pPr>
        <w:tabs>
          <w:tab w:val="num" w:pos="2880"/>
        </w:tabs>
        <w:ind w:left="2880" w:hanging="360"/>
      </w:pPr>
      <w:rPr>
        <w:rFonts w:ascii="Arial" w:hAnsi="Arial" w:hint="default"/>
      </w:rPr>
    </w:lvl>
    <w:lvl w:ilvl="4" w:tplc="95289A4A" w:tentative="1">
      <w:start w:val="1"/>
      <w:numFmt w:val="bullet"/>
      <w:lvlText w:val="•"/>
      <w:lvlJc w:val="left"/>
      <w:pPr>
        <w:tabs>
          <w:tab w:val="num" w:pos="3600"/>
        </w:tabs>
        <w:ind w:left="3600" w:hanging="360"/>
      </w:pPr>
      <w:rPr>
        <w:rFonts w:ascii="Arial" w:hAnsi="Arial" w:hint="default"/>
      </w:rPr>
    </w:lvl>
    <w:lvl w:ilvl="5" w:tplc="A7E45EDC" w:tentative="1">
      <w:start w:val="1"/>
      <w:numFmt w:val="bullet"/>
      <w:lvlText w:val="•"/>
      <w:lvlJc w:val="left"/>
      <w:pPr>
        <w:tabs>
          <w:tab w:val="num" w:pos="4320"/>
        </w:tabs>
        <w:ind w:left="4320" w:hanging="360"/>
      </w:pPr>
      <w:rPr>
        <w:rFonts w:ascii="Arial" w:hAnsi="Arial" w:hint="default"/>
      </w:rPr>
    </w:lvl>
    <w:lvl w:ilvl="6" w:tplc="A70AA814" w:tentative="1">
      <w:start w:val="1"/>
      <w:numFmt w:val="bullet"/>
      <w:lvlText w:val="•"/>
      <w:lvlJc w:val="left"/>
      <w:pPr>
        <w:tabs>
          <w:tab w:val="num" w:pos="5040"/>
        </w:tabs>
        <w:ind w:left="5040" w:hanging="360"/>
      </w:pPr>
      <w:rPr>
        <w:rFonts w:ascii="Arial" w:hAnsi="Arial" w:hint="default"/>
      </w:rPr>
    </w:lvl>
    <w:lvl w:ilvl="7" w:tplc="A386C6DC" w:tentative="1">
      <w:start w:val="1"/>
      <w:numFmt w:val="bullet"/>
      <w:lvlText w:val="•"/>
      <w:lvlJc w:val="left"/>
      <w:pPr>
        <w:tabs>
          <w:tab w:val="num" w:pos="5760"/>
        </w:tabs>
        <w:ind w:left="5760" w:hanging="360"/>
      </w:pPr>
      <w:rPr>
        <w:rFonts w:ascii="Arial" w:hAnsi="Arial" w:hint="default"/>
      </w:rPr>
    </w:lvl>
    <w:lvl w:ilvl="8" w:tplc="8ACE83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757A76"/>
    <w:multiLevelType w:val="hybridMultilevel"/>
    <w:tmpl w:val="AD122A4E"/>
    <w:lvl w:ilvl="0" w:tplc="150E3662">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BC4545A"/>
    <w:multiLevelType w:val="hybridMultilevel"/>
    <w:tmpl w:val="7236FB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52609192">
    <w:abstractNumId w:val="3"/>
  </w:num>
  <w:num w:numId="2" w16cid:durableId="1670207550">
    <w:abstractNumId w:val="2"/>
  </w:num>
  <w:num w:numId="3" w16cid:durableId="851064960">
    <w:abstractNumId w:val="0"/>
  </w:num>
  <w:num w:numId="4" w16cid:durableId="1449855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8C"/>
    <w:rsid w:val="0000158A"/>
    <w:rsid w:val="00005AB2"/>
    <w:rsid w:val="00012FC7"/>
    <w:rsid w:val="000219EB"/>
    <w:rsid w:val="00024227"/>
    <w:rsid w:val="00026D2A"/>
    <w:rsid w:val="000361DD"/>
    <w:rsid w:val="000468AE"/>
    <w:rsid w:val="00051CFE"/>
    <w:rsid w:val="00057F8B"/>
    <w:rsid w:val="000626D8"/>
    <w:rsid w:val="00066123"/>
    <w:rsid w:val="000665C5"/>
    <w:rsid w:val="00072946"/>
    <w:rsid w:val="00075E69"/>
    <w:rsid w:val="00076218"/>
    <w:rsid w:val="00081605"/>
    <w:rsid w:val="00083725"/>
    <w:rsid w:val="000A0818"/>
    <w:rsid w:val="000A1015"/>
    <w:rsid w:val="000A2CE3"/>
    <w:rsid w:val="000A3799"/>
    <w:rsid w:val="000A53B4"/>
    <w:rsid w:val="000B7CFF"/>
    <w:rsid w:val="000B7F76"/>
    <w:rsid w:val="000C2F77"/>
    <w:rsid w:val="000C4007"/>
    <w:rsid w:val="000C4351"/>
    <w:rsid w:val="000D3F07"/>
    <w:rsid w:val="000E4E6F"/>
    <w:rsid w:val="000E4FAA"/>
    <w:rsid w:val="000E5824"/>
    <w:rsid w:val="000E6C92"/>
    <w:rsid w:val="000F20E9"/>
    <w:rsid w:val="000F3607"/>
    <w:rsid w:val="00106BA7"/>
    <w:rsid w:val="00110D37"/>
    <w:rsid w:val="001377A9"/>
    <w:rsid w:val="00140135"/>
    <w:rsid w:val="00143F0B"/>
    <w:rsid w:val="001543C3"/>
    <w:rsid w:val="001601DB"/>
    <w:rsid w:val="00161EE7"/>
    <w:rsid w:val="00163C53"/>
    <w:rsid w:val="00166DCF"/>
    <w:rsid w:val="00171CAE"/>
    <w:rsid w:val="00171CD4"/>
    <w:rsid w:val="00171D69"/>
    <w:rsid w:val="00176D88"/>
    <w:rsid w:val="001809D0"/>
    <w:rsid w:val="001836BD"/>
    <w:rsid w:val="00184318"/>
    <w:rsid w:val="0019008C"/>
    <w:rsid w:val="001A2FF3"/>
    <w:rsid w:val="001B0DBA"/>
    <w:rsid w:val="001C394C"/>
    <w:rsid w:val="001D2610"/>
    <w:rsid w:val="001E3EEE"/>
    <w:rsid w:val="001E5A07"/>
    <w:rsid w:val="001E683B"/>
    <w:rsid w:val="001F4348"/>
    <w:rsid w:val="001F721E"/>
    <w:rsid w:val="00216BC6"/>
    <w:rsid w:val="0022046A"/>
    <w:rsid w:val="002268B3"/>
    <w:rsid w:val="00230273"/>
    <w:rsid w:val="002411C9"/>
    <w:rsid w:val="00241FD4"/>
    <w:rsid w:val="0024444A"/>
    <w:rsid w:val="00244B48"/>
    <w:rsid w:val="00246543"/>
    <w:rsid w:val="00281DCF"/>
    <w:rsid w:val="0028212C"/>
    <w:rsid w:val="002876E4"/>
    <w:rsid w:val="0029674F"/>
    <w:rsid w:val="002A4B35"/>
    <w:rsid w:val="002A4C71"/>
    <w:rsid w:val="002B31C3"/>
    <w:rsid w:val="002B72A1"/>
    <w:rsid w:val="002C3011"/>
    <w:rsid w:val="002D292E"/>
    <w:rsid w:val="002D35B4"/>
    <w:rsid w:val="002D7852"/>
    <w:rsid w:val="002E11B0"/>
    <w:rsid w:val="002F1B8C"/>
    <w:rsid w:val="002F4A0E"/>
    <w:rsid w:val="002F633D"/>
    <w:rsid w:val="002F79A1"/>
    <w:rsid w:val="0030282A"/>
    <w:rsid w:val="00310735"/>
    <w:rsid w:val="00312996"/>
    <w:rsid w:val="0032141F"/>
    <w:rsid w:val="00321FE5"/>
    <w:rsid w:val="003429DD"/>
    <w:rsid w:val="00343993"/>
    <w:rsid w:val="00357D3B"/>
    <w:rsid w:val="003631A6"/>
    <w:rsid w:val="00364145"/>
    <w:rsid w:val="00366AB2"/>
    <w:rsid w:val="0036797C"/>
    <w:rsid w:val="003759F6"/>
    <w:rsid w:val="003801B9"/>
    <w:rsid w:val="00381C5B"/>
    <w:rsid w:val="00383A6B"/>
    <w:rsid w:val="003851D3"/>
    <w:rsid w:val="00392AEA"/>
    <w:rsid w:val="00396323"/>
    <w:rsid w:val="00397CF2"/>
    <w:rsid w:val="003A00D5"/>
    <w:rsid w:val="003B2BA3"/>
    <w:rsid w:val="003B3B94"/>
    <w:rsid w:val="003B5A05"/>
    <w:rsid w:val="003B5F9D"/>
    <w:rsid w:val="003C1FB8"/>
    <w:rsid w:val="003C3FAB"/>
    <w:rsid w:val="003C49F8"/>
    <w:rsid w:val="003C76F4"/>
    <w:rsid w:val="003D3B5B"/>
    <w:rsid w:val="003D5C94"/>
    <w:rsid w:val="003E5424"/>
    <w:rsid w:val="003E65BD"/>
    <w:rsid w:val="003F1DD3"/>
    <w:rsid w:val="003F32DB"/>
    <w:rsid w:val="003F47ED"/>
    <w:rsid w:val="004078CB"/>
    <w:rsid w:val="00415954"/>
    <w:rsid w:val="004226B8"/>
    <w:rsid w:val="00427CB4"/>
    <w:rsid w:val="00432552"/>
    <w:rsid w:val="00433E05"/>
    <w:rsid w:val="00441036"/>
    <w:rsid w:val="00447308"/>
    <w:rsid w:val="00461795"/>
    <w:rsid w:val="004622D1"/>
    <w:rsid w:val="00466225"/>
    <w:rsid w:val="004667B3"/>
    <w:rsid w:val="00473A8D"/>
    <w:rsid w:val="00487351"/>
    <w:rsid w:val="004A4303"/>
    <w:rsid w:val="004A5996"/>
    <w:rsid w:val="004B1CD6"/>
    <w:rsid w:val="004C1BCF"/>
    <w:rsid w:val="004C4613"/>
    <w:rsid w:val="004C5A0C"/>
    <w:rsid w:val="004D0765"/>
    <w:rsid w:val="004D1081"/>
    <w:rsid w:val="004D5D85"/>
    <w:rsid w:val="004F774A"/>
    <w:rsid w:val="00513523"/>
    <w:rsid w:val="0051474A"/>
    <w:rsid w:val="0052541F"/>
    <w:rsid w:val="00530107"/>
    <w:rsid w:val="00530346"/>
    <w:rsid w:val="00530B79"/>
    <w:rsid w:val="00532FBD"/>
    <w:rsid w:val="00533B32"/>
    <w:rsid w:val="005417A1"/>
    <w:rsid w:val="005425C2"/>
    <w:rsid w:val="005425C7"/>
    <w:rsid w:val="0056046E"/>
    <w:rsid w:val="00565A25"/>
    <w:rsid w:val="00566C5E"/>
    <w:rsid w:val="0058702C"/>
    <w:rsid w:val="00593623"/>
    <w:rsid w:val="00596CFB"/>
    <w:rsid w:val="005973C6"/>
    <w:rsid w:val="00597AFB"/>
    <w:rsid w:val="005A2C0B"/>
    <w:rsid w:val="005A45B8"/>
    <w:rsid w:val="005B35E7"/>
    <w:rsid w:val="005C1ADB"/>
    <w:rsid w:val="005C2FB4"/>
    <w:rsid w:val="005D05A8"/>
    <w:rsid w:val="005D3D4B"/>
    <w:rsid w:val="005E1A24"/>
    <w:rsid w:val="005E1BB3"/>
    <w:rsid w:val="005E3A19"/>
    <w:rsid w:val="005E7081"/>
    <w:rsid w:val="005E7BB3"/>
    <w:rsid w:val="005F4CD4"/>
    <w:rsid w:val="00602610"/>
    <w:rsid w:val="006075BA"/>
    <w:rsid w:val="00610757"/>
    <w:rsid w:val="006337EC"/>
    <w:rsid w:val="00637389"/>
    <w:rsid w:val="00637586"/>
    <w:rsid w:val="0064048A"/>
    <w:rsid w:val="006432DB"/>
    <w:rsid w:val="006522B9"/>
    <w:rsid w:val="0065389B"/>
    <w:rsid w:val="0065440F"/>
    <w:rsid w:val="00656148"/>
    <w:rsid w:val="00656DAC"/>
    <w:rsid w:val="006610F8"/>
    <w:rsid w:val="006644A3"/>
    <w:rsid w:val="00664CA9"/>
    <w:rsid w:val="00671C15"/>
    <w:rsid w:val="00682BB6"/>
    <w:rsid w:val="00686D1B"/>
    <w:rsid w:val="006976E6"/>
    <w:rsid w:val="006A0A5D"/>
    <w:rsid w:val="006A31B6"/>
    <w:rsid w:val="006A3F23"/>
    <w:rsid w:val="006A47A8"/>
    <w:rsid w:val="006A670E"/>
    <w:rsid w:val="006A7EBC"/>
    <w:rsid w:val="006B2EDC"/>
    <w:rsid w:val="006C1616"/>
    <w:rsid w:val="006C2082"/>
    <w:rsid w:val="006C3044"/>
    <w:rsid w:val="006C5517"/>
    <w:rsid w:val="006C5A0F"/>
    <w:rsid w:val="006C64A7"/>
    <w:rsid w:val="006D4749"/>
    <w:rsid w:val="006D5D64"/>
    <w:rsid w:val="006E2AEC"/>
    <w:rsid w:val="006E2D98"/>
    <w:rsid w:val="006F750A"/>
    <w:rsid w:val="00704E1B"/>
    <w:rsid w:val="00707EB9"/>
    <w:rsid w:val="00711715"/>
    <w:rsid w:val="00711B57"/>
    <w:rsid w:val="007120DE"/>
    <w:rsid w:val="00712E3A"/>
    <w:rsid w:val="0071321E"/>
    <w:rsid w:val="00717D44"/>
    <w:rsid w:val="00720750"/>
    <w:rsid w:val="00720A35"/>
    <w:rsid w:val="0072103D"/>
    <w:rsid w:val="00723F97"/>
    <w:rsid w:val="00725E5B"/>
    <w:rsid w:val="00730696"/>
    <w:rsid w:val="00732071"/>
    <w:rsid w:val="00732BE8"/>
    <w:rsid w:val="00737210"/>
    <w:rsid w:val="00740E15"/>
    <w:rsid w:val="00744B5C"/>
    <w:rsid w:val="00745778"/>
    <w:rsid w:val="007652D9"/>
    <w:rsid w:val="00771214"/>
    <w:rsid w:val="00785BB4"/>
    <w:rsid w:val="00792E14"/>
    <w:rsid w:val="007951D9"/>
    <w:rsid w:val="00797B32"/>
    <w:rsid w:val="007A2084"/>
    <w:rsid w:val="007A21C3"/>
    <w:rsid w:val="007A37A3"/>
    <w:rsid w:val="007A4AC7"/>
    <w:rsid w:val="007B07A5"/>
    <w:rsid w:val="007B4E02"/>
    <w:rsid w:val="007B7A5A"/>
    <w:rsid w:val="007C2052"/>
    <w:rsid w:val="007C7172"/>
    <w:rsid w:val="007D72D2"/>
    <w:rsid w:val="007E01AF"/>
    <w:rsid w:val="007E3E67"/>
    <w:rsid w:val="007E4EAF"/>
    <w:rsid w:val="007F1006"/>
    <w:rsid w:val="007F14CC"/>
    <w:rsid w:val="00814C76"/>
    <w:rsid w:val="008150E8"/>
    <w:rsid w:val="0082106E"/>
    <w:rsid w:val="00822A53"/>
    <w:rsid w:val="008243F7"/>
    <w:rsid w:val="00824A40"/>
    <w:rsid w:val="0084214B"/>
    <w:rsid w:val="00852786"/>
    <w:rsid w:val="008539A4"/>
    <w:rsid w:val="0085477C"/>
    <w:rsid w:val="00855F63"/>
    <w:rsid w:val="008561E6"/>
    <w:rsid w:val="008604C0"/>
    <w:rsid w:val="0086304E"/>
    <w:rsid w:val="008664B8"/>
    <w:rsid w:val="00871D50"/>
    <w:rsid w:val="00873B59"/>
    <w:rsid w:val="008869C4"/>
    <w:rsid w:val="00891C58"/>
    <w:rsid w:val="00893A1D"/>
    <w:rsid w:val="00893E0A"/>
    <w:rsid w:val="008A1FD0"/>
    <w:rsid w:val="008A5510"/>
    <w:rsid w:val="008A7417"/>
    <w:rsid w:val="008B1B97"/>
    <w:rsid w:val="008C138B"/>
    <w:rsid w:val="008C40C6"/>
    <w:rsid w:val="008E09C0"/>
    <w:rsid w:val="00901C6F"/>
    <w:rsid w:val="00902E09"/>
    <w:rsid w:val="009060D1"/>
    <w:rsid w:val="009064AE"/>
    <w:rsid w:val="00916083"/>
    <w:rsid w:val="0092201C"/>
    <w:rsid w:val="00922975"/>
    <w:rsid w:val="00922B76"/>
    <w:rsid w:val="00922CD9"/>
    <w:rsid w:val="00924562"/>
    <w:rsid w:val="00925BE9"/>
    <w:rsid w:val="0093346E"/>
    <w:rsid w:val="00934C2A"/>
    <w:rsid w:val="009400AC"/>
    <w:rsid w:val="00943A20"/>
    <w:rsid w:val="009642C5"/>
    <w:rsid w:val="00970A51"/>
    <w:rsid w:val="0097211A"/>
    <w:rsid w:val="00985720"/>
    <w:rsid w:val="00986CFA"/>
    <w:rsid w:val="009879B9"/>
    <w:rsid w:val="00993A29"/>
    <w:rsid w:val="009B08C5"/>
    <w:rsid w:val="009B415A"/>
    <w:rsid w:val="009B77D7"/>
    <w:rsid w:val="009D0AA7"/>
    <w:rsid w:val="009D363A"/>
    <w:rsid w:val="009D410B"/>
    <w:rsid w:val="009D5EFB"/>
    <w:rsid w:val="009D7473"/>
    <w:rsid w:val="009E6E16"/>
    <w:rsid w:val="009E738C"/>
    <w:rsid w:val="009F22F7"/>
    <w:rsid w:val="009F7DF2"/>
    <w:rsid w:val="00A017D9"/>
    <w:rsid w:val="00A01ACE"/>
    <w:rsid w:val="00A01E20"/>
    <w:rsid w:val="00A128D9"/>
    <w:rsid w:val="00A13298"/>
    <w:rsid w:val="00A14DCB"/>
    <w:rsid w:val="00A14ECB"/>
    <w:rsid w:val="00A15C4F"/>
    <w:rsid w:val="00A178C5"/>
    <w:rsid w:val="00A20122"/>
    <w:rsid w:val="00A20BF0"/>
    <w:rsid w:val="00A31BA4"/>
    <w:rsid w:val="00A33FE5"/>
    <w:rsid w:val="00A35FD2"/>
    <w:rsid w:val="00A3665F"/>
    <w:rsid w:val="00A37A17"/>
    <w:rsid w:val="00A41646"/>
    <w:rsid w:val="00A52EB0"/>
    <w:rsid w:val="00A576BE"/>
    <w:rsid w:val="00A64DBC"/>
    <w:rsid w:val="00A652D1"/>
    <w:rsid w:val="00A7521F"/>
    <w:rsid w:val="00A8329A"/>
    <w:rsid w:val="00A85234"/>
    <w:rsid w:val="00A87DA2"/>
    <w:rsid w:val="00A943D7"/>
    <w:rsid w:val="00AA014E"/>
    <w:rsid w:val="00AA079D"/>
    <w:rsid w:val="00AA1B5B"/>
    <w:rsid w:val="00AB1673"/>
    <w:rsid w:val="00AB62A1"/>
    <w:rsid w:val="00AB7609"/>
    <w:rsid w:val="00AC4DE4"/>
    <w:rsid w:val="00AC7FE0"/>
    <w:rsid w:val="00AD2750"/>
    <w:rsid w:val="00AD2894"/>
    <w:rsid w:val="00AD3A21"/>
    <w:rsid w:val="00AD4A17"/>
    <w:rsid w:val="00AD668D"/>
    <w:rsid w:val="00AF2CC7"/>
    <w:rsid w:val="00AF3273"/>
    <w:rsid w:val="00AF354F"/>
    <w:rsid w:val="00B02D46"/>
    <w:rsid w:val="00B04DA7"/>
    <w:rsid w:val="00B07CC9"/>
    <w:rsid w:val="00B10601"/>
    <w:rsid w:val="00B11A23"/>
    <w:rsid w:val="00B1596D"/>
    <w:rsid w:val="00B270DF"/>
    <w:rsid w:val="00B27DCC"/>
    <w:rsid w:val="00B323DA"/>
    <w:rsid w:val="00B40498"/>
    <w:rsid w:val="00B42ED2"/>
    <w:rsid w:val="00B455C2"/>
    <w:rsid w:val="00B547F3"/>
    <w:rsid w:val="00B747BB"/>
    <w:rsid w:val="00B83D4A"/>
    <w:rsid w:val="00B96432"/>
    <w:rsid w:val="00BA0A9B"/>
    <w:rsid w:val="00BA143A"/>
    <w:rsid w:val="00BA5D41"/>
    <w:rsid w:val="00BA7BAA"/>
    <w:rsid w:val="00BB0776"/>
    <w:rsid w:val="00BB3BA3"/>
    <w:rsid w:val="00BC4672"/>
    <w:rsid w:val="00BD0050"/>
    <w:rsid w:val="00BD483E"/>
    <w:rsid w:val="00BD515C"/>
    <w:rsid w:val="00BD7B57"/>
    <w:rsid w:val="00BE17B8"/>
    <w:rsid w:val="00BE53D2"/>
    <w:rsid w:val="00BE5A6D"/>
    <w:rsid w:val="00BE6B1C"/>
    <w:rsid w:val="00BE7783"/>
    <w:rsid w:val="00BF17CF"/>
    <w:rsid w:val="00BF17EC"/>
    <w:rsid w:val="00C0110C"/>
    <w:rsid w:val="00C13F92"/>
    <w:rsid w:val="00C157E6"/>
    <w:rsid w:val="00C219D9"/>
    <w:rsid w:val="00C25285"/>
    <w:rsid w:val="00C2564A"/>
    <w:rsid w:val="00C266F4"/>
    <w:rsid w:val="00C27554"/>
    <w:rsid w:val="00C309EE"/>
    <w:rsid w:val="00C34A93"/>
    <w:rsid w:val="00C4652D"/>
    <w:rsid w:val="00C47A84"/>
    <w:rsid w:val="00C67D22"/>
    <w:rsid w:val="00C70FB7"/>
    <w:rsid w:val="00C74C29"/>
    <w:rsid w:val="00C75C27"/>
    <w:rsid w:val="00C84876"/>
    <w:rsid w:val="00C941CB"/>
    <w:rsid w:val="00C95267"/>
    <w:rsid w:val="00CA2B49"/>
    <w:rsid w:val="00CA361D"/>
    <w:rsid w:val="00CA582D"/>
    <w:rsid w:val="00CA620E"/>
    <w:rsid w:val="00CC76EA"/>
    <w:rsid w:val="00CD5494"/>
    <w:rsid w:val="00CD62AB"/>
    <w:rsid w:val="00CD7F09"/>
    <w:rsid w:val="00CE0A0F"/>
    <w:rsid w:val="00CE3C24"/>
    <w:rsid w:val="00CE568C"/>
    <w:rsid w:val="00CF0C86"/>
    <w:rsid w:val="00CF1316"/>
    <w:rsid w:val="00CF2CF2"/>
    <w:rsid w:val="00D02B16"/>
    <w:rsid w:val="00D113D5"/>
    <w:rsid w:val="00D14948"/>
    <w:rsid w:val="00D2057F"/>
    <w:rsid w:val="00D26983"/>
    <w:rsid w:val="00D475DB"/>
    <w:rsid w:val="00D5257B"/>
    <w:rsid w:val="00D57404"/>
    <w:rsid w:val="00D705DF"/>
    <w:rsid w:val="00D7224C"/>
    <w:rsid w:val="00D73177"/>
    <w:rsid w:val="00D8429E"/>
    <w:rsid w:val="00D84441"/>
    <w:rsid w:val="00D91D39"/>
    <w:rsid w:val="00D954FE"/>
    <w:rsid w:val="00D97022"/>
    <w:rsid w:val="00DA6F5A"/>
    <w:rsid w:val="00DB3AEF"/>
    <w:rsid w:val="00DC2B40"/>
    <w:rsid w:val="00DC33E3"/>
    <w:rsid w:val="00DD0ED5"/>
    <w:rsid w:val="00DD5FE5"/>
    <w:rsid w:val="00DD7E72"/>
    <w:rsid w:val="00DE2C04"/>
    <w:rsid w:val="00DE659D"/>
    <w:rsid w:val="00DE7BAB"/>
    <w:rsid w:val="00DF1A8F"/>
    <w:rsid w:val="00E0115B"/>
    <w:rsid w:val="00E13EFD"/>
    <w:rsid w:val="00E20529"/>
    <w:rsid w:val="00E23326"/>
    <w:rsid w:val="00E233C5"/>
    <w:rsid w:val="00E30FE2"/>
    <w:rsid w:val="00E32C05"/>
    <w:rsid w:val="00E34CD0"/>
    <w:rsid w:val="00E40FA4"/>
    <w:rsid w:val="00E428D6"/>
    <w:rsid w:val="00E444AF"/>
    <w:rsid w:val="00E46C13"/>
    <w:rsid w:val="00E60B27"/>
    <w:rsid w:val="00E7032B"/>
    <w:rsid w:val="00E80B72"/>
    <w:rsid w:val="00E824BD"/>
    <w:rsid w:val="00E852E1"/>
    <w:rsid w:val="00E90222"/>
    <w:rsid w:val="00EA3455"/>
    <w:rsid w:val="00EA49AE"/>
    <w:rsid w:val="00EB30A5"/>
    <w:rsid w:val="00EB6F93"/>
    <w:rsid w:val="00ED398F"/>
    <w:rsid w:val="00ED73C7"/>
    <w:rsid w:val="00EE7FCA"/>
    <w:rsid w:val="00EF0A0A"/>
    <w:rsid w:val="00EF16AE"/>
    <w:rsid w:val="00EF68B6"/>
    <w:rsid w:val="00F13CC1"/>
    <w:rsid w:val="00F2018A"/>
    <w:rsid w:val="00F247E6"/>
    <w:rsid w:val="00F35B77"/>
    <w:rsid w:val="00F36440"/>
    <w:rsid w:val="00F37041"/>
    <w:rsid w:val="00F44D0B"/>
    <w:rsid w:val="00F44F85"/>
    <w:rsid w:val="00F46BA3"/>
    <w:rsid w:val="00F54B5D"/>
    <w:rsid w:val="00F56C40"/>
    <w:rsid w:val="00F76A29"/>
    <w:rsid w:val="00F772EE"/>
    <w:rsid w:val="00F8281B"/>
    <w:rsid w:val="00F863E9"/>
    <w:rsid w:val="00F90501"/>
    <w:rsid w:val="00F91DFC"/>
    <w:rsid w:val="00FA23C2"/>
    <w:rsid w:val="00FA2EB7"/>
    <w:rsid w:val="00FA5B8F"/>
    <w:rsid w:val="00FB0EC8"/>
    <w:rsid w:val="00FB726A"/>
    <w:rsid w:val="00FC338B"/>
    <w:rsid w:val="00FD22E8"/>
    <w:rsid w:val="00FF4A7F"/>
    <w:rsid w:val="00FF55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529A"/>
  <w15:docId w15:val="{726FFB31-5ECE-4CFE-BF71-F60FE585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C76"/>
    <w:pPr>
      <w:suppressAutoHyphens/>
    </w:pPr>
  </w:style>
  <w:style w:type="paragraph" w:styleId="Ttulo2">
    <w:name w:val="heading 2"/>
    <w:basedOn w:val="Normal"/>
    <w:next w:val="Normal"/>
    <w:uiPriority w:val="9"/>
    <w:semiHidden/>
    <w:unhideWhenUsed/>
    <w:qFormat/>
    <w:rsid w:val="00814C76"/>
    <w:pPr>
      <w:keepNext/>
      <w:keepLines/>
      <w:spacing w:before="200" w:after="0" w:line="276" w:lineRule="auto"/>
      <w:outlineLvl w:val="1"/>
    </w:pPr>
    <w:rPr>
      <w:rFonts w:ascii="Calibri Light" w:eastAsia="Times New Roman" w:hAnsi="Calibri Light"/>
      <w:b/>
      <w:bCs/>
      <w:color w:val="4472C4"/>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4C76"/>
    <w:pPr>
      <w:spacing w:before="100" w:after="100"/>
    </w:pPr>
    <w:rPr>
      <w:rFonts w:ascii="Times New Roman" w:eastAsia="Times New Roman" w:hAnsi="Times New Roman"/>
      <w:sz w:val="24"/>
      <w:szCs w:val="24"/>
      <w:lang w:eastAsia="es-ES"/>
    </w:rPr>
  </w:style>
  <w:style w:type="character" w:customStyle="1" w:styleId="Ttulo2Car">
    <w:name w:val="Título 2 Car"/>
    <w:basedOn w:val="Fuentedeprrafopredeter"/>
    <w:rsid w:val="00814C76"/>
    <w:rPr>
      <w:rFonts w:ascii="Calibri Light" w:eastAsia="Times New Roman" w:hAnsi="Calibri Light" w:cs="Times New Roman"/>
      <w:b/>
      <w:bCs/>
      <w:color w:val="4472C4"/>
      <w:sz w:val="26"/>
      <w:szCs w:val="26"/>
    </w:rPr>
  </w:style>
  <w:style w:type="paragraph" w:styleId="Textodeglobo">
    <w:name w:val="Balloon Text"/>
    <w:basedOn w:val="Normal"/>
    <w:rsid w:val="00814C76"/>
    <w:pPr>
      <w:spacing w:after="0"/>
    </w:pPr>
    <w:rPr>
      <w:rFonts w:ascii="Tahoma" w:hAnsi="Tahoma" w:cs="Tahoma"/>
      <w:sz w:val="16"/>
      <w:szCs w:val="16"/>
    </w:rPr>
  </w:style>
  <w:style w:type="character" w:customStyle="1" w:styleId="TextodegloboCar">
    <w:name w:val="Texto de globo Car"/>
    <w:basedOn w:val="Fuentedeprrafopredeter"/>
    <w:rsid w:val="00814C76"/>
    <w:rPr>
      <w:rFonts w:ascii="Tahoma" w:hAnsi="Tahoma" w:cs="Tahoma"/>
      <w:sz w:val="16"/>
      <w:szCs w:val="16"/>
    </w:rPr>
  </w:style>
  <w:style w:type="paragraph" w:styleId="Sinespaciado">
    <w:name w:val="No Spacing"/>
    <w:rsid w:val="00814C76"/>
    <w:pPr>
      <w:suppressAutoHyphens/>
      <w:spacing w:after="0"/>
    </w:pPr>
  </w:style>
  <w:style w:type="character" w:styleId="Hipervnculo">
    <w:name w:val="Hyperlink"/>
    <w:basedOn w:val="Fuentedeprrafopredeter"/>
    <w:rsid w:val="00814C76"/>
    <w:rPr>
      <w:color w:val="0563C1"/>
      <w:u w:val="single"/>
    </w:rPr>
  </w:style>
  <w:style w:type="paragraph" w:styleId="Prrafodelista">
    <w:name w:val="List Paragraph"/>
    <w:basedOn w:val="Normal"/>
    <w:uiPriority w:val="34"/>
    <w:qFormat/>
    <w:rsid w:val="00814C76"/>
    <w:pPr>
      <w:spacing w:after="200" w:line="276" w:lineRule="auto"/>
      <w:ind w:left="720"/>
    </w:pPr>
  </w:style>
  <w:style w:type="paragraph" w:styleId="Revisin">
    <w:name w:val="Revision"/>
    <w:rsid w:val="00814C76"/>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5851">
      <w:bodyDiv w:val="1"/>
      <w:marLeft w:val="0"/>
      <w:marRight w:val="0"/>
      <w:marTop w:val="0"/>
      <w:marBottom w:val="0"/>
      <w:divBdr>
        <w:top w:val="none" w:sz="0" w:space="0" w:color="auto"/>
        <w:left w:val="none" w:sz="0" w:space="0" w:color="auto"/>
        <w:bottom w:val="none" w:sz="0" w:space="0" w:color="auto"/>
        <w:right w:val="none" w:sz="0" w:space="0" w:color="auto"/>
      </w:divBdr>
    </w:div>
    <w:div w:id="653492013">
      <w:bodyDiv w:val="1"/>
      <w:marLeft w:val="0"/>
      <w:marRight w:val="0"/>
      <w:marTop w:val="0"/>
      <w:marBottom w:val="0"/>
      <w:divBdr>
        <w:top w:val="none" w:sz="0" w:space="0" w:color="auto"/>
        <w:left w:val="none" w:sz="0" w:space="0" w:color="auto"/>
        <w:bottom w:val="none" w:sz="0" w:space="0" w:color="auto"/>
        <w:right w:val="none" w:sz="0" w:space="0" w:color="auto"/>
      </w:divBdr>
    </w:div>
    <w:div w:id="780031355">
      <w:bodyDiv w:val="1"/>
      <w:marLeft w:val="0"/>
      <w:marRight w:val="0"/>
      <w:marTop w:val="0"/>
      <w:marBottom w:val="0"/>
      <w:divBdr>
        <w:top w:val="none" w:sz="0" w:space="0" w:color="auto"/>
        <w:left w:val="none" w:sz="0" w:space="0" w:color="auto"/>
        <w:bottom w:val="none" w:sz="0" w:space="0" w:color="auto"/>
        <w:right w:val="none" w:sz="0" w:space="0" w:color="auto"/>
      </w:divBdr>
    </w:div>
    <w:div w:id="903636938">
      <w:bodyDiv w:val="1"/>
      <w:marLeft w:val="0"/>
      <w:marRight w:val="0"/>
      <w:marTop w:val="0"/>
      <w:marBottom w:val="0"/>
      <w:divBdr>
        <w:top w:val="none" w:sz="0" w:space="0" w:color="auto"/>
        <w:left w:val="none" w:sz="0" w:space="0" w:color="auto"/>
        <w:bottom w:val="none" w:sz="0" w:space="0" w:color="auto"/>
        <w:right w:val="none" w:sz="0" w:space="0" w:color="auto"/>
      </w:divBdr>
    </w:div>
    <w:div w:id="1412240588">
      <w:bodyDiv w:val="1"/>
      <w:marLeft w:val="0"/>
      <w:marRight w:val="0"/>
      <w:marTop w:val="0"/>
      <w:marBottom w:val="0"/>
      <w:divBdr>
        <w:top w:val="none" w:sz="0" w:space="0" w:color="auto"/>
        <w:left w:val="none" w:sz="0" w:space="0" w:color="auto"/>
        <w:bottom w:val="none" w:sz="0" w:space="0" w:color="auto"/>
        <w:right w:val="none" w:sz="0" w:space="0" w:color="auto"/>
      </w:divBdr>
    </w:div>
    <w:div w:id="1506480633">
      <w:bodyDiv w:val="1"/>
      <w:marLeft w:val="0"/>
      <w:marRight w:val="0"/>
      <w:marTop w:val="0"/>
      <w:marBottom w:val="0"/>
      <w:divBdr>
        <w:top w:val="none" w:sz="0" w:space="0" w:color="auto"/>
        <w:left w:val="none" w:sz="0" w:space="0" w:color="auto"/>
        <w:bottom w:val="none" w:sz="0" w:space="0" w:color="auto"/>
        <w:right w:val="none" w:sz="0" w:space="0" w:color="auto"/>
      </w:divBdr>
    </w:div>
    <w:div w:id="1755780678">
      <w:bodyDiv w:val="1"/>
      <w:marLeft w:val="0"/>
      <w:marRight w:val="0"/>
      <w:marTop w:val="0"/>
      <w:marBottom w:val="0"/>
      <w:divBdr>
        <w:top w:val="none" w:sz="0" w:space="0" w:color="auto"/>
        <w:left w:val="none" w:sz="0" w:space="0" w:color="auto"/>
        <w:bottom w:val="none" w:sz="0" w:space="0" w:color="auto"/>
        <w:right w:val="none" w:sz="0" w:space="0" w:color="auto"/>
      </w:divBdr>
    </w:div>
    <w:div w:id="1810512259">
      <w:bodyDiv w:val="1"/>
      <w:marLeft w:val="0"/>
      <w:marRight w:val="0"/>
      <w:marTop w:val="0"/>
      <w:marBottom w:val="0"/>
      <w:divBdr>
        <w:top w:val="none" w:sz="0" w:space="0" w:color="auto"/>
        <w:left w:val="none" w:sz="0" w:space="0" w:color="auto"/>
        <w:bottom w:val="none" w:sz="0" w:space="0" w:color="auto"/>
        <w:right w:val="none" w:sz="0" w:space="0" w:color="auto"/>
      </w:divBdr>
    </w:div>
    <w:div w:id="1825930505">
      <w:bodyDiv w:val="1"/>
      <w:marLeft w:val="0"/>
      <w:marRight w:val="0"/>
      <w:marTop w:val="0"/>
      <w:marBottom w:val="0"/>
      <w:divBdr>
        <w:top w:val="none" w:sz="0" w:space="0" w:color="auto"/>
        <w:left w:val="none" w:sz="0" w:space="0" w:color="auto"/>
        <w:bottom w:val="none" w:sz="0" w:space="0" w:color="auto"/>
        <w:right w:val="none" w:sz="0" w:space="0" w:color="auto"/>
      </w:divBdr>
    </w:div>
    <w:div w:id="191616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servatorioeconomico.es/index.php" TargetMode="External"/><Relationship Id="rId5" Type="http://schemas.openxmlformats.org/officeDocument/2006/relationships/webSettings" Target="webSettings.xml"/><Relationship Id="rId10" Type="http://schemas.openxmlformats.org/officeDocument/2006/relationships/hyperlink" Target="mailto:yraola@yraola.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D9C92-903C-4DFF-BB54-D2B5DA2E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1161</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Justino Sáez Santos</dc:creator>
  <dc:description/>
  <cp:lastModifiedBy>Araceli Artiso</cp:lastModifiedBy>
  <cp:revision>2</cp:revision>
  <cp:lastPrinted>2021-03-30T08:06:00Z</cp:lastPrinted>
  <dcterms:created xsi:type="dcterms:W3CDTF">2023-12-04T10:24:00Z</dcterms:created>
  <dcterms:modified xsi:type="dcterms:W3CDTF">2023-12-04T10:24:00Z</dcterms:modified>
</cp:coreProperties>
</file>